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ПКОП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ДТ-Л-K4 маркалы жазғы дизель отыны</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Текесу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теміржол к</w:t>
      </w:r>
      <w:r>
        <w:rPr>
          <w:rFonts w:ascii="Times New Roman" w:hAnsi="Times New Roman" w:cs="Times New Roman" w:eastAsia="Times New Roman"/>
          <w:color w:val="000000"/>
          <w:spacing w:val="0"/>
          <w:position w:val="0"/>
          <w:sz w:val="24"/>
          <w:shd w:fill="auto" w:val="clear"/>
        </w:rPr>
        <w:t xml:space="preserve">өлігі (қосарланған қарсы аукцион режиміндегі биржалық сауда-саттықтар үшін)</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ПКОП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ны</w:t>
            </w:r>
            <w:r>
              <w:rPr>
                <w:rFonts w:ascii="Times New Roman" w:hAnsi="Times New Roman" w:cs="Times New Roman" w:eastAsia="Times New Roman"/>
                <w:color w:val="auto"/>
                <w:spacing w:val="0"/>
                <w:position w:val="0"/>
                <w:sz w:val="24"/>
                <w:shd w:fill="auto" w:val="clear"/>
              </w:rPr>
              <w:t xml:space="preserve">ң ДТ-Л-K4 маркалы жазғы дизель отыны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қағидалары,</w:t>
              <w:b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режимі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w:t>
            </w:r>
            <w:r>
              <w:rPr>
                <w:rFonts w:ascii="Times New Roman" w:hAnsi="Times New Roman" w:cs="Times New Roman" w:eastAsia="Times New Roman"/>
                <w:color w:val="auto"/>
                <w:spacing w:val="0"/>
                <w:position w:val="0"/>
                <w:sz w:val="24"/>
                <w:shd w:fill="auto" w:val="clear"/>
              </w:rPr>
              <w:t xml:space="preserve">-K4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жаз</w:t>
            </w:r>
            <w:r>
              <w:rPr>
                <w:rFonts w:ascii="Times New Roman" w:hAnsi="Times New Roman" w:cs="Times New Roman" w:eastAsia="Times New Roman"/>
                <w:color w:val="auto"/>
                <w:spacing w:val="0"/>
                <w:position w:val="0"/>
                <w:sz w:val="24"/>
                <w:shd w:fill="auto" w:val="clear"/>
              </w:rPr>
              <w:t xml:space="preserve">ғы дизель отынының сапалық сипаттамалары:</w:t>
              <w:br/>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 сатып алушыдан ақшалай қаражаттың түскені туралы хабардар еткен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жөнелтілгенін, барлық міндеттемелердің орындалғанын, тауар үшін төлем жасалғанын және биржалық қамтамасыз етуді бұғаттан босату туралы растайтын құжаттармен бірге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қаражатты аударған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бұғаттан босатқан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5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DSDF4TO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ПКОП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ДТ-Л-K4 маркалы жазғы дизель отыны;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Текесу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Ерекшеліктің 4-тармағында көрсетілген мерзімде мәміле сомасының 100% алдын ала төлемі ретінде Клирингтік орталықтың банктік шотына жүргізіледі;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оған ақы төлеу Ерекшеліктің 4-тармағында көрсетілген мерзімде жүзеге асырылады;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15 % (</w:t>
      </w:r>
      <w:r>
        <w:rPr>
          <w:rFonts w:ascii="Times New Roman" w:hAnsi="Times New Roman" w:cs="Times New Roman" w:eastAsia="Times New Roman"/>
          <w:color w:val="000000"/>
          <w:spacing w:val="0"/>
          <w:position w:val="0"/>
          <w:sz w:val="24"/>
          <w:shd w:fill="auto" w:val="clear"/>
        </w:rPr>
        <w:t xml:space="preserve">он бес пайыз) болжамды м</w:t>
      </w:r>
      <w:r>
        <w:rPr>
          <w:rFonts w:ascii="Times New Roman" w:hAnsi="Times New Roman" w:cs="Times New Roman" w:eastAsia="Times New Roman"/>
          <w:color w:val="000000"/>
          <w:spacing w:val="0"/>
          <w:position w:val="0"/>
          <w:sz w:val="24"/>
          <w:shd w:fill="auto" w:val="clear"/>
        </w:rPr>
        <w:t xml:space="preserve">әміле сомасынан (өтінімнен);</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+/- 15 (</w:t>
      </w:r>
      <w:r>
        <w:rPr>
          <w:rFonts w:ascii="Times New Roman" w:hAnsi="Times New Roman" w:cs="Times New Roman" w:eastAsia="Times New Roman"/>
          <w:color w:val="000000"/>
          <w:spacing w:val="0"/>
          <w:position w:val="0"/>
          <w:sz w:val="24"/>
          <w:shd w:fill="auto" w:val="clear"/>
        </w:rPr>
        <w:t xml:space="preserve">он бес) метрлік тонна сауда лотына;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Ерекшеліктің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қосымшасы болып табылатын мұнай өнімдерін сатып алу-сату шартының үлгілік нысанына сәйкес ресімделуге жатады. Шарттың бұл нысаны тауарды жеткізудің негізгі талаптарын қамтиды, оларды қажет болған жағдайда тараптар қол қоятын түпкілікті шартта толықтыра алады.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тиісті 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осындай шартты орындау кезінде Тараптар үшін міндетті түрде қолданылуға жатады.</w:t>
      </w:r>
    </w:p>
    <w:p>
      <w:pPr>
        <w:widowControl w:val="false"/>
        <w:numPr>
          <w:ilvl w:val="0"/>
          <w:numId w:val="50"/>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шарттарды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қосылу жөніндегі өтінішті ұсыну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қосымша келісімге/қосымшаға қол қою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жолдайды;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 және/немесе тауарды жеткізу шартына қосымша келісімді/қосымшаны жасайды;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тараптар тауарды жеткізу шартына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6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мен жеткізу мерзімдері және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+ 4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 + 30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тауардың Сатып алушыға жөнелтілгені, барлық міндеттемелердің орындалғаны және биржалық қамтамасыз етуді бұғаттан босату туралы растайтын құжаттармен бірге Клирингтік орталыққа хат ұсыну мерзімі.</w:t>
            </w:r>
          </w:p>
        </w:tc>
      </w:tr>
    </w:tbl>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4 жұмыс күнінен кешіктірмей Клирингтік орталықтың банктік шотына мәміле сомасының 100% мөлшеріндегі соманы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Ерекшелікке сәйкес және оның талаптарымен жөнелтеді;</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73"/>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 тарапынан </w:t>
      </w:r>
      <w:r>
        <w:rPr>
          <w:rFonts w:ascii="Times New Roman" w:hAnsi="Times New Roman" w:cs="Times New Roman" w:eastAsia="Times New Roman"/>
          <w:b/>
          <w:color w:val="auto"/>
          <w:spacing w:val="0"/>
          <w:position w:val="0"/>
          <w:sz w:val="24"/>
          <w:shd w:fill="auto" w:val="clear"/>
        </w:rPr>
        <w:t xml:space="preserve">қол қойылған тауарға ілеспе жүкқұжаты).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босату мерзімі</w:t>
            </w:r>
          </w:p>
        </w:tc>
      </w:tr>
    </w:tbl>
    <w:p>
      <w:pPr>
        <w:widowControl w:val="false"/>
        <w:numPr>
          <w:ilvl w:val="0"/>
          <w:numId w:val="82"/>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numPr>
          <w:ilvl w:val="0"/>
          <w:numId w:val="82"/>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82"/>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82"/>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 қағидаларына сәйкес сатушыға ақшалай қаражатты аударғаннан кейін және 4.4, 5.1-тармақтарға сәйкес сатушы мен сатып алушыдан барлық құжаттарды алған соң биржалық мәміле бойынша биржалық қамтамасыз етуді бұғаттан босатуды және қайтаруды жүзеге асырады.</w:t>
      </w:r>
    </w:p>
    <w:p>
      <w:pPr>
        <w:widowControl w:val="false"/>
        <w:numPr>
          <w:ilvl w:val="0"/>
          <w:numId w:val="82"/>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82"/>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82"/>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Ерекшелікті жа</w:t>
      </w:r>
      <w:r>
        <w:rPr>
          <w:rFonts w:ascii="Times New Roman" w:hAnsi="Times New Roman" w:cs="Times New Roman" w:eastAsia="Times New Roman"/>
          <w:color w:val="000000"/>
          <w:spacing w:val="0"/>
          <w:position w:val="0"/>
          <w:sz w:val="24"/>
          <w:shd w:fill="auto" w:val="clear"/>
        </w:rPr>
        <w:t xml:space="preserve">ңа редакцияда бекіту арқылы оған өзгерістер мен толықтырулар енгізуге құқылы.</w:t>
      </w:r>
    </w:p>
    <w:p>
      <w:pPr>
        <w:widowControl w:val="false"/>
        <w:numPr>
          <w:ilvl w:val="0"/>
          <w:numId w:val="82"/>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 енгізілген Ерекшелік Биржаның интернет-ресурсында жарияланған күннен бастап күшіне енеді.</w:t>
      </w:r>
    </w:p>
    <w:p>
      <w:pPr>
        <w:widowControl w:val="false"/>
        <w:numPr>
          <w:ilvl w:val="0"/>
          <w:numId w:val="8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Биржаны</w:t>
      </w:r>
      <w:r>
        <w:rPr>
          <w:rFonts w:ascii="Times New Roman" w:hAnsi="Times New Roman" w:cs="Times New Roman" w:eastAsia="Times New Roman"/>
          <w:color w:val="000000"/>
          <w:spacing w:val="0"/>
          <w:position w:val="0"/>
          <w:sz w:val="24"/>
          <w:shd w:fill="auto" w:val="clear"/>
        </w:rPr>
        <w:t xml:space="preserve">ң интернет-ресурсында ол бойынша сауда-саттық басталғанға дейін кемінде 3 (үш) сауда күні бұрын жарияланады.</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r>
      <w:r>
        <w:rPr>
          <w:rFonts w:ascii="Times New Roman" w:hAnsi="Times New Roman" w:cs="Times New Roman" w:eastAsia="Times New Roman"/>
          <w:color w:val="000000"/>
          <w:spacing w:val="0"/>
          <w:position w:val="0"/>
          <w:sz w:val="24"/>
          <w:shd w:fill="auto" w:val="clear"/>
        </w:rPr>
        <w:t xml:space="preserve">Өзге шарттар</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брокерлердің клиенттері осы Ерекшеліктің сауда құралы бойынша биржалық мәміле жасауға бұйрық бере отырып, оның барлық талаптарын толық қабылдайды, сондай-ақ Сауда қағидаларының, Клиринг қағидаларының және бұйрық бойынша биржалық мәміле жасау фактісіне байланысты өздеріне қолданылатын Биржаның өзге де ішкі нормативтік құжаттарының барлық талаптарын орындауға міндеттенеді.</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Спецификации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5103"/>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января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ФИО_______, действующей на основании Устава,  ,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в подтверждение заключенной биржевой сделки оформили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 </w:t>
            </w:r>
            <w:r>
              <w:rPr>
                <w:rFonts w:ascii="Times New Roman" w:hAnsi="Times New Roman" w:cs="Times New Roman" w:eastAsia="Times New Roman"/>
                <w:color w:val="auto"/>
                <w:spacing w:val="0"/>
                <w:position w:val="0"/>
                <w:sz w:val="24"/>
                <w:shd w:fill="auto" w:val="clear"/>
              </w:rPr>
              <w:t xml:space="preserve">необходимо внести в редакцию Продавца.</w:t>
            </w:r>
          </w:p>
          <w:p>
            <w:pPr>
              <w:widowControl w:val="false"/>
              <w:suppressAutoHyphens w:val="true"/>
              <w:spacing w:before="0" w:after="0" w:line="240"/>
              <w:ind w:right="0" w:left="0" w:firstLine="0"/>
              <w:jc w:val="left"/>
              <w:rPr>
                <w:color w:val="auto"/>
                <w:spacing w:val="0"/>
                <w:position w:val="0"/>
                <w:sz w:val="24"/>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B1-____</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қантар 2026 ж.</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тиісті жасалған биржалық мәмілелердің талаптарымен бірге,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биржасы"А</w:t>
            </w:r>
            <w:r>
              <w:rPr>
                <w:rFonts w:ascii="Times New Roman" w:hAnsi="Times New Roman" w:cs="Times New Roman" w:eastAsia="Times New Roman"/>
                <w:color w:val="auto"/>
                <w:spacing w:val="0"/>
                <w:position w:val="0"/>
                <w:sz w:val="24"/>
                <w:shd w:fill="auto" w:val="clear"/>
              </w:rPr>
              <w:t xml:space="preserve">Қ бекіткен биржалық тауардың ерекшелігіне сәйкес қолданылуға жататынын растайды.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оған қосымшалар мен жасалған биржалық мәмілелердің талаптары мен биржалық тауар ерекшеліктерінің арасында алшақтықтар болған жағдайда, жасалған биржалық мәмілелер мен ерекшеліктердің талаптары басымдыққа ие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ҚР Азаматтық кодексінің 389-бабына және М. А. бұйрығымен бекітілген биржалық мәмілелер бойынша клирингтік қызметті жүзеге асыру қағидаларының 5-тармағына сәйкес биржалық мәмілелер бойынша есеп айырысуларға клирингтік қызмет көрсету туралы үлгілік шартқа қосылу туралы өтінішті жіберуге міндетті. Қазақстан Республикасы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16"/>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1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1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 являющемся неотъемлемой частью настоящего Договора.</w:t>
            </w:r>
          </w:p>
          <w:p>
            <w:pPr>
              <w:widowControl w:val="false"/>
              <w:numPr>
                <w:ilvl w:val="0"/>
                <w:numId w:val="11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ПетроКазахстан Ойл Продактс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ПКОП).</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21"/>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21"/>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21"/>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5"/>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Петро</w:t>
            </w:r>
            <w:r>
              <w:rPr>
                <w:rFonts w:ascii="Times New Roman" w:hAnsi="Times New Roman" w:cs="Times New Roman" w:eastAsia="Times New Roman"/>
                <w:color w:val="auto"/>
                <w:spacing w:val="0"/>
                <w:position w:val="0"/>
                <w:sz w:val="24"/>
                <w:shd w:fill="auto" w:val="clear"/>
              </w:rPr>
              <w:t xml:space="preserve">Қазахстан Ойл Продактс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ПКОП)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29"/>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2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2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биржи-данный пункт необходимо внести в редакцию Продавца.</w:t>
            </w:r>
          </w:p>
          <w:p>
            <w:pPr>
              <w:widowControl w:val="false"/>
              <w:numPr>
                <w:ilvl w:val="0"/>
                <w:numId w:val="12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2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3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9"/>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3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торговли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подписывает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течении</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рабочих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биржевой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направляет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электронной почте (e-mail) сканированную копию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подписанного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Договора/Дополнительного соглашения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пригодную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последующего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Клиринговый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Центр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47"/>
              </w:numPr>
              <w:tabs>
                <w:tab w:val="left" w:pos="708" w:leader="none"/>
                <w:tab w:val="left" w:pos="602"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tabs>
                <w:tab w:val="left" w:pos="708" w:leader="none"/>
                <w:tab w:val="left" w:pos="602" w:leader="none"/>
              </w:tabs>
              <w:suppressAutoHyphens w:val="true"/>
              <w:spacing w:before="0" w:after="0" w:line="240"/>
              <w:ind w:right="0" w:left="602"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49"/>
              </w:numPr>
              <w:tabs>
                <w:tab w:val="left" w:pos="708" w:leader="none"/>
                <w:tab w:val="left" w:pos="602" w:leader="none"/>
              </w:tabs>
              <w:suppressAutoHyphens w:val="true"/>
              <w:spacing w:before="0" w:after="0" w:line="240"/>
              <w:ind w:right="0" w:left="360" w:hanging="360"/>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tabs>
                <w:tab w:val="left" w:pos="708" w:leader="none"/>
                <w:tab w:val="left" w:pos="602" w:leader="none"/>
              </w:tabs>
              <w:suppressAutoHyphens w:val="true"/>
              <w:spacing w:before="0" w:after="0" w:line="240"/>
              <w:ind w:right="0" w:left="0" w:firstLine="0"/>
              <w:jc w:val="left"/>
              <w:rPr>
                <w:rFonts w:ascii="Times New Roman" w:hAnsi="Times New Roman" w:cs="Times New Roman" w:eastAsia="Times New Roman"/>
                <w:color w:val="000000"/>
                <w:spacing w:val="-5"/>
                <w:position w:val="0"/>
                <w:sz w:val="24"/>
                <w:u w:val="single"/>
                <w:shd w:fill="auto" w:val="clear"/>
              </w:rPr>
            </w:pPr>
          </w:p>
          <w:p>
            <w:pPr>
              <w:widowControl w:val="false"/>
              <w:numPr>
                <w:ilvl w:val="0"/>
                <w:numId w:val="151"/>
              </w:numPr>
              <w:tabs>
                <w:tab w:val="left" w:pos="708" w:leader="none"/>
                <w:tab w:val="left" w:pos="144"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взаиморасчетов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144"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3"/>
              </w:numPr>
              <w:tabs>
                <w:tab w:val="left" w:pos="708" w:leader="none"/>
                <w:tab w:val="left" w:pos="144"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 и прекращает действие в любом из следующих случаев:</w:t>
            </w:r>
          </w:p>
          <w:p>
            <w:pPr>
              <w:widowControl w:val="false"/>
              <w:numPr>
                <w:ilvl w:val="0"/>
                <w:numId w:val="153"/>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пп.3.4 Договора;</w:t>
            </w:r>
          </w:p>
          <w:p>
            <w:pPr>
              <w:widowControl w:val="false"/>
              <w:numPr>
                <w:ilvl w:val="0"/>
                <w:numId w:val="153"/>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53"/>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53"/>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53"/>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6"/>
              </w:numPr>
              <w:tabs>
                <w:tab w:val="left" w:pos="708" w:leader="none"/>
                <w:tab w:val="left" w:pos="144"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634" w:hanging="6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177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60"/>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2"/>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бұл Тауарды қабылдауға теміржол станциясының дайындығын растайды.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numPr>
                <w:ilvl w:val="0"/>
                <w:numId w:val="162"/>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62"/>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w:t>
            </w:r>
          </w:p>
          <w:p>
            <w:pPr>
              <w:widowControl w:val="false"/>
              <w:numPr>
                <w:ilvl w:val="0"/>
                <w:numId w:val="162"/>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numPr>
                <w:ilvl w:val="0"/>
                <w:numId w:val="162"/>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62"/>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67"/>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67"/>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67"/>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2"/>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72"/>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6"/>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 нефтепродуктов.</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pacing w:before="0" w:after="0" w:line="240"/>
              <w:ind w:right="0" w:left="499"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493" w:hanging="49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усмотрению Покупателя транспортировка Товара может быть организована им самостоятельно путем привлечения услуг оператора вагонов и осуществления оплаты ж/д тарифа (с предоставлением телеграммы об оплате ж/д тарифов и инструкции по заполнению ж/д накладных), который фиксируется в заявке на отгрузку, с приложением подтверждающих документов. При несоблюдении такого условия организация транспортировки грузов будет осуществлена Продавцом.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81"/>
              </w:numPr>
              <w:tabs>
                <w:tab w:val="left" w:pos="0" w:leader="none"/>
              </w:tabs>
              <w:suppressAutoHyphens w:val="true"/>
              <w:spacing w:before="0" w:after="0" w:line="240"/>
              <w:ind w:right="0" w:left="493"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Покупатель в Заявке на отгрузку не заявил о самостоятельной организации транспортировки Товара, организация транспортировки Товара осуществляется Продавцом либо иным лицом по поручению Продавца. При этом Покупатель обязуется </w:t>
            </w:r>
            <w:r>
              <w:rPr>
                <w:rFonts w:ascii="Times New Roman" w:hAnsi="Times New Roman" w:cs="Times New Roman" w:eastAsia="Times New Roman"/>
                <w:b/>
                <w:color w:val="auto"/>
                <w:spacing w:val="0"/>
                <w:position w:val="0"/>
                <w:sz w:val="24"/>
                <w:shd w:fill="auto" w:val="clear"/>
              </w:rPr>
              <w:t xml:space="preserve">произвести 100% предварительную оплату</w:t>
            </w:r>
            <w:r>
              <w:rPr>
                <w:rFonts w:ascii="Times New Roman" w:hAnsi="Times New Roman" w:cs="Times New Roman" w:eastAsia="Times New Roman"/>
                <w:color w:val="auto"/>
                <w:spacing w:val="0"/>
                <w:position w:val="0"/>
                <w:sz w:val="24"/>
                <w:shd w:fill="auto" w:val="clear"/>
              </w:rPr>
              <w:t xml:space="preserve"> услуг по организации транспортировки Товара.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перечислить оплату за транспортные услуги и прочие сопутствующие расходы (в том числе услуги по организации транспортировки и (или) охраны Товара) на банковский счет Продавца </w:t>
            </w:r>
            <w:r>
              <w:rPr>
                <w:rFonts w:ascii="Times New Roman" w:hAnsi="Times New Roman" w:cs="Times New Roman" w:eastAsia="Times New Roman"/>
                <w:b/>
                <w:color w:val="auto"/>
                <w:spacing w:val="0"/>
                <w:position w:val="0"/>
                <w:sz w:val="24"/>
                <w:shd w:fill="auto" w:val="clear"/>
              </w:rPr>
              <w:t xml:space="preserve">в течение 4 (четырех) рабочих дней</w:t>
            </w:r>
            <w:r>
              <w:rPr>
                <w:rFonts w:ascii="Times New Roman" w:hAnsi="Times New Roman" w:cs="Times New Roman" w:eastAsia="Times New Roman"/>
                <w:color w:val="auto"/>
                <w:spacing w:val="0"/>
                <w:position w:val="0"/>
                <w:sz w:val="24"/>
                <w:shd w:fill="auto" w:val="clear"/>
              </w:rPr>
              <w:t xml:space="preserve"> с даты соответствующего Дополнительного соглашения.</w:t>
              <w:br/>
              <w:t xml:space="preserve">В случае, если транспортировка и (или) охрана Товара организуются Покупателем самостоятельно, Покупатель обязуется в Заявке на отгрузку нефтепродуктов указать, что обеспечение транспортировки (включая оплату сопутствующих расходов) осуществляется Покупателем самостоятельно, с указанием наименования охранной организации, а также номера и даты соответствующего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184"/>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184"/>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shd w:fill="auto" w:val="clear"/>
              </w:rPr>
              <w:t xml:space="preserve">В случае если под погрузку Покупатель предоставляет свои вагоноцистерны (собственные, арендованные, разового пользования), то 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При использовании под погрузку вагоноцистерн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9"/>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w:t>
            </w: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26"/>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4" w:hanging="49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1"/>
                <w:position w:val="0"/>
                <w:sz w:val="24"/>
                <w:u w:val="single"/>
                <w:shd w:fill="auto" w:val="clear"/>
              </w:rPr>
              <w:t xml:space="preserve">4.11.</w:t>
            </w:r>
            <w:r>
              <w:rPr>
                <w:rFonts w:ascii="Times New Roman" w:hAnsi="Times New Roman" w:cs="Times New Roman" w:eastAsia="Times New Roman"/>
                <w:b/>
                <w:color w:val="000000"/>
                <w:spacing w:val="-1"/>
                <w:position w:val="0"/>
                <w:sz w:val="24"/>
                <w:u w:val="single"/>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Покупатель </w:t>
            </w:r>
            <w:r>
              <w:rPr>
                <w:rFonts w:ascii="Times New Roman" w:hAnsi="Times New Roman" w:cs="Times New Roman" w:eastAsia="Times New Roman"/>
                <w:color w:val="auto"/>
                <w:spacing w:val="-1"/>
                <w:position w:val="0"/>
                <w:sz w:val="24"/>
                <w:shd w:fill="auto" w:val="clear"/>
              </w:rPr>
              <w:t xml:space="preserve">компенсирует Про</w:t>
            </w:r>
            <w:r>
              <w:rPr>
                <w:rFonts w:ascii="Times New Roman" w:hAnsi="Times New Roman" w:cs="Times New Roman" w:eastAsia="Times New Roman"/>
                <w:color w:val="auto"/>
                <w:spacing w:val="0"/>
                <w:position w:val="0"/>
                <w:sz w:val="24"/>
                <w:shd w:fill="auto" w:val="clear"/>
              </w:rPr>
              <w:t xml:space="preserve">давцу расходы за военизированную охрану и сопровождение Товара в пути следования, организованные и выставленные Грузоотправителем/Продавцом, в соотвествии с законодательством Республики Казахстан, в порядке и на условиях, предусмотренных п.4.6 настоящего Договора. </w:t>
            </w:r>
          </w:p>
          <w:p>
            <w:pPr>
              <w:widowControl w:val="false"/>
              <w:suppressAutoHyphens w:val="true"/>
              <w:spacing w:before="0" w:after="0" w:line="240"/>
              <w:ind w:right="0" w:left="494" w:hanging="49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4" w:hanging="494"/>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tab/>
            </w: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192"/>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192"/>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8"/>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осуществить слив и оформление порожнего возврата вагонов-цистерн в течение 3 (трех) календарных дней. Учет нормативного времени исчисляется со дня прибытия груженых вагонов-цистерн на станцию назначения. Фактом прибытия груженых вагонов-цистерн и отправления порожних вагонов-цистерн являются данные информационных баз или календарный штемпель станции назначения в железнодорожных накладных. Данные, указанные в железнодорожных накладных, являются превалирующими над данными информационных баз. В случае несвоевременного возврата (отправления) вагонов, Покупатель обязуется возместить Продавцу, начисленную грузоотправителем с НПЗ (оператором вагонов) плату за сверхнормативное пользование вагонами. При этом Покупатель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вернуть</w:t>
            </w:r>
            <w:r>
              <w:rPr>
                <w:rFonts w:ascii="Times New Roman" w:hAnsi="Times New Roman" w:cs="Times New Roman" w:eastAsia="Times New Roman"/>
                <w:color w:val="auto"/>
                <w:spacing w:val="1"/>
                <w:position w:val="0"/>
                <w:sz w:val="24"/>
                <w:shd w:fill="auto" w:val="clear"/>
              </w:rPr>
              <w:t xml:space="preserve"> направленный </w:t>
            </w:r>
            <w:r>
              <w:rPr>
                <w:rFonts w:ascii="Times New Roman" w:hAnsi="Times New Roman" w:cs="Times New Roman" w:eastAsia="Times New Roman"/>
                <w:color w:val="auto"/>
                <w:spacing w:val="0"/>
                <w:position w:val="0"/>
                <w:sz w:val="24"/>
                <w:shd w:fill="auto" w:val="clear"/>
              </w:rPr>
              <w:t xml:space="preserve">Продавцом реестр вагонов по возмещению платы за сверхнормативное пользование вагонами при сливе с подписью</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уполномоченного лица и печатью Покупателя в течение 10 (десяти) календарных дней с момента его получения. Покупатель соглашается с тем, что Продавец вправе удержать начисленную грузоотправителем с НПЗ или оператором вагонов плату за сверхнормативное пользование вагонами при сливе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0"/>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окончании разгрузочных операций (слива), Покупатель обязуется предоставить Продавцу копии железнодорожных накладных со штампом станции назначения.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02"/>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вагонах-цистернах,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После слива (выгрузки) Товара из вагона-цистерны Покупатель обязуется обеспечить отправление порожних вагонов-цистерн по маршрутам в соответствии с инструкциями экспедитора / оператора вагонов в технически исправном и коммерчески пригодном состоянии, очищенных от остатков Товара в соответствии с пунктом 3.3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вагонах-цистернах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необеспечении очистки Покупатель обязуется возместить Продавцу (если транспортировка Товара была организована Продавцом) начисленные грузоотправителем с НПЗ или экспедитором / оператором вагонов расходы по очистке таких вагонов-цистерн, а также по оплате провозных плат (железнодорожные тарифы) за доставку вагонов-цистерн к местам очистки (промывочно-пропарочные станции) и от места очистки до станции, указанной оператором вагонов.</w:t>
            </w:r>
          </w:p>
          <w:p>
            <w:pPr>
              <w:widowControl w:val="false"/>
              <w:spacing w:before="0" w:after="0" w:line="240"/>
              <w:ind w:right="0" w:left="0" w:firstLine="0"/>
              <w:jc w:val="left"/>
              <w:rPr>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0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09"/>
              </w:numPr>
              <w:tabs>
                <w:tab w:val="left" w:pos="708" w:leader="none"/>
                <w:tab w:val="left" w:pos="460" w:leader="none"/>
              </w:tabs>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numPr>
                <w:ilvl w:val="0"/>
                <w:numId w:val="21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1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numPr>
                <w:ilvl w:val="0"/>
                <w:numId w:val="211"/>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қалауы бойынша ол Тауарларды тасымалдауды жүк жөнелту қызметтерін, вагондар операторының қызметтерін тарту және/немесе растаушы құжаттар қоса тіркелген жөнелтуге өтінімде тіркелетін темір жол тарифін төлеу (тариф төлеушінің кодтарын ұсына отыра) арқылы өз бетімен ұйымдастыруы мүмкін. Бұл талап сақталмаған жағдайда жүкті тасымалдауды ұйымдастыруды Сатушы жүзеге асырады.</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numPr>
                <w:ilvl w:val="0"/>
                <w:numId w:val="21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ұнай өнімдерін сатып алуға сұратымда және жөнелтуге өтінімде Сатып алушы Тауарды тасымалдауды өз бетімен ұйымдастыру туралы мәлімдемеген болса, Сатушы немесе Сатушының атынан басқа тарап Тауарларды тасымалдауды ұйымдастырады.</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Сатып алушы Тауарды тасымалдауды ұйымдастыру қызметтері үшін </w:t>
            </w:r>
            <w:r>
              <w:rPr>
                <w:rFonts w:ascii="Times New Roman" w:hAnsi="Times New Roman" w:cs="Times New Roman" w:eastAsia="Times New Roman"/>
                <w:b/>
                <w:color w:val="auto"/>
                <w:spacing w:val="0"/>
                <w:position w:val="0"/>
                <w:sz w:val="24"/>
                <w:shd w:fill="auto" w:val="clear"/>
              </w:rPr>
              <w:t xml:space="preserve">100% алдын ала төлем жасауға</w:t>
            </w:r>
            <w:r>
              <w:rPr>
                <w:rFonts w:ascii="Times New Roman" w:hAnsi="Times New Roman" w:cs="Times New Roman" w:eastAsia="Times New Roman"/>
                <w:color w:val="auto"/>
                <w:spacing w:val="0"/>
                <w:position w:val="0"/>
                <w:sz w:val="24"/>
                <w:shd w:fill="auto" w:val="clear"/>
              </w:rPr>
              <w:t xml:space="preserve">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өлік қызметтері мен басқа да ілеспе шығындар (оның ішінде Тауарды тасымалдауды және (немесе) күзетуді ұйымдастыру қызметтері) үшін төлемді тиісті Қосымша келісім жасалған күннен бастап </w:t>
            </w:r>
            <w:r>
              <w:rPr>
                <w:rFonts w:ascii="Times New Roman" w:hAnsi="Times New Roman" w:cs="Times New Roman" w:eastAsia="Times New Roman"/>
                <w:b/>
                <w:color w:val="auto"/>
                <w:spacing w:val="0"/>
                <w:position w:val="0"/>
                <w:sz w:val="24"/>
                <w:shd w:fill="auto" w:val="clear"/>
              </w:rPr>
              <w:t xml:space="preserve">4 (төрт) жұмыс күні ішінде</w:t>
            </w:r>
            <w:r>
              <w:rPr>
                <w:rFonts w:ascii="Times New Roman" w:hAnsi="Times New Roman" w:cs="Times New Roman" w:eastAsia="Times New Roman"/>
                <w:color w:val="auto"/>
                <w:spacing w:val="0"/>
                <w:position w:val="0"/>
                <w:sz w:val="24"/>
                <w:shd w:fill="auto" w:val="clear"/>
              </w:rPr>
              <w:t xml:space="preserve"> Сатушының банктік шотына аударуға міндеттенеді.</w:t>
            </w:r>
          </w:p>
          <w:p>
            <w:pPr>
              <w:widowControl w:val="false"/>
              <w:suppressAutoHyphens w:val="true"/>
              <w:spacing w:before="6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Тауарды тасымалдау ж</w:t>
            </w:r>
            <w:r>
              <w:rPr>
                <w:rFonts w:ascii="Times New Roman" w:hAnsi="Times New Roman" w:cs="Times New Roman" w:eastAsia="Times New Roman"/>
                <w:color w:val="auto"/>
                <w:spacing w:val="0"/>
                <w:position w:val="0"/>
                <w:sz w:val="24"/>
                <w:shd w:fill="auto" w:val="clear"/>
              </w:rPr>
              <w:t xml:space="preserve">әне (немесе) күзету Сатып алушы тарапынан дербес ұйымдастырылса, Сатып алушы мұнай өнімдерін жөнелтуге арналған Өтінімде тасымалдауды қамтамасыз етуді (ілеспе шығындарды төлеуді қоса алғанда) Сатып алушы өзі жүзеге асыратынын көрсетуі тиіс, сондай-ақ күзет ұйымының атауын, тиісті шарттың нөмірі мен күнін көрсетуі қажет.</w:t>
            </w:r>
          </w:p>
          <w:p>
            <w:pPr>
              <w:widowControl w:val="false"/>
              <w:numPr>
                <w:ilvl w:val="0"/>
                <w:numId w:val="216"/>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16"/>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16"/>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numPr>
                <w:ilvl w:val="0"/>
                <w:numId w:val="216"/>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w:t>
            </w:r>
            <w:r>
              <w:rPr>
                <w:rFonts w:ascii="Times New Roman" w:hAnsi="Times New Roman" w:cs="Times New Roman" w:eastAsia="Times New Roman"/>
                <w:color w:val="auto"/>
                <w:spacing w:val="0"/>
                <w:position w:val="0"/>
                <w:sz w:val="24"/>
                <w:shd w:fill="auto" w:val="clear"/>
              </w:rPr>
              <w:t xml:space="preserve">өзінің вагон-цистерналарын тиеуге (меншікті, жалға алынған, бір рет қолданылатын) беретін болса, Сатып алушы вагон-цистерналарды жуу-буландыру бекетінде мұнай өнімдерін құю үшін дайындауға қатысты барлық мәселелерді өз бетімен шешеді.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Сатып алушының вагон-цистерналарын тиеу үшін пайдаланған кезде Сатушы берілетін Тауардың сапасына жауапты болмайды. Вагон-цистерналарда калибрлеу белгісі, интервалдық калибрлеу кестесі болуы тиіс.</w:t>
            </w:r>
          </w:p>
          <w:p>
            <w:pPr>
              <w:widowControl w:val="false"/>
              <w:numPr>
                <w:ilvl w:val="0"/>
                <w:numId w:val="220"/>
              </w:numPr>
              <w:tabs>
                <w:tab w:val="left" w:pos="0" w:leader="none"/>
              </w:tabs>
              <w:suppressAutoHyphens w:val="true"/>
              <w:spacing w:before="0" w:after="0" w:line="240"/>
              <w:ind w:right="0" w:left="492" w:hanging="426"/>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numPr>
                <w:ilvl w:val="0"/>
                <w:numId w:val="220"/>
              </w:numPr>
              <w:tabs>
                <w:tab w:val="left" w:pos="0" w:leader="none"/>
              </w:tabs>
              <w:suppressAutoHyphens w:val="true"/>
              <w:spacing w:before="0" w:after="0" w:line="240"/>
              <w:ind w:right="0" w:left="492" w:hanging="426"/>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Сатып алушы Сатушы</w:t>
            </w:r>
            <w:r>
              <w:rPr>
                <w:rFonts w:ascii="Times New Roman" w:hAnsi="Times New Roman" w:cs="Times New Roman" w:eastAsia="Times New Roman"/>
                <w:color w:val="000000"/>
                <w:spacing w:val="0"/>
                <w:position w:val="0"/>
                <w:sz w:val="24"/>
                <w:u w:val="single"/>
                <w:shd w:fill="auto" w:val="clear"/>
              </w:rPr>
              <w:t xml:space="preserve">ға Қазақстан Республикасының заңнамасына сәйкес осы Шарттың 4.6-тармағында көзделген тәртіп пен шарттар бойынша Жүк жөнелтуші/Сатушы ұйымдастырған және ұсынған бағдар бойынша Тауарды әскерилендірілген күзет және алып жүру шығыстарын өтейді.</w:t>
            </w:r>
          </w:p>
          <w:p>
            <w:pPr>
              <w:widowControl w:val="false"/>
              <w:numPr>
                <w:ilvl w:val="0"/>
                <w:numId w:val="220"/>
              </w:numPr>
              <w:tabs>
                <w:tab w:val="left" w:pos="0" w:leader="none"/>
              </w:tabs>
              <w:suppressAutoHyphens w:val="true"/>
              <w:spacing w:before="0" w:after="0" w:line="240"/>
              <w:ind w:right="0" w:left="350" w:hanging="284"/>
              <w:jc w:val="both"/>
              <w:rPr>
                <w:rFonts w:ascii="Times New Roman" w:hAnsi="Times New Roman" w:cs="Times New Roman" w:eastAsia="Times New Roman"/>
                <w:b/>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0"/>
                <w:position w:val="0"/>
                <w:sz w:val="24"/>
                <w:u w:val="single"/>
                <w:shd w:fill="auto" w:val="clear"/>
              </w:rPr>
            </w:pPr>
          </w:p>
          <w:p>
            <w:pPr>
              <w:widowControl w:val="false"/>
              <w:numPr>
                <w:ilvl w:val="0"/>
                <w:numId w:val="224"/>
              </w:numPr>
              <w:tabs>
                <w:tab w:val="left" w:pos="708" w:leader="none"/>
                <w:tab w:val="left" w:pos="744" w:leader="none"/>
              </w:tabs>
              <w:suppressAutoHyphens w:val="true"/>
              <w:spacing w:before="0" w:after="0" w:line="240"/>
              <w:ind w:right="0" w:left="480" w:hanging="48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24"/>
              </w:numPr>
              <w:tabs>
                <w:tab w:val="left" w:pos="0" w:leader="none"/>
              </w:tabs>
              <w:suppressAutoHyphens w:val="true"/>
              <w:spacing w:before="0" w:after="0" w:line="240"/>
              <w:ind w:right="0" w:left="350" w:hanging="35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numPr>
                <w:ilvl w:val="0"/>
                <w:numId w:val="22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24"/>
              </w:numPr>
              <w:tabs>
                <w:tab w:val="left" w:pos="0" w:leader="none"/>
              </w:tabs>
              <w:suppressAutoHyphens w:val="true"/>
              <w:spacing w:before="0" w:after="0" w:line="240"/>
              <w:ind w:right="0"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к</w:t>
            </w:r>
            <w:r>
              <w:rPr>
                <w:rFonts w:ascii="Times New Roman" w:hAnsi="Times New Roman" w:cs="Times New Roman" w:eastAsia="Times New Roman"/>
                <w:color w:val="auto"/>
                <w:spacing w:val="0"/>
                <w:position w:val="0"/>
                <w:sz w:val="24"/>
                <w:shd w:fill="auto" w:val="clear"/>
              </w:rPr>
              <w:t xml:space="preserve">үнтізбелік 3 (үш) күн ішінде вагон-цистерналардың ағызылуын және бос қайтарылуын іске асыруға міндеттенеді. Нормативтік уақыт жүк тиелген вагон-цистерналардың тағайындалған межелі бекетке келген күнінен бастап есептеледі. Жүк тиелген вагон-цистерналардың келуі және бос вагон-цистерналардың жөнелтілуі фактісі болып ақпараттық базалардың деректері немесе темір жол жүкқұжаттарында тағайындалған бекеттің күнтізбелік мөрі табылады. Теміржол жүкқұжаттарында көрсетілген деректер ақпараттық базалардағы деректерден басым болады. Вагондарды уақытылы қайтармаған (жібермеген) жағдайда Сатып алушы вагондарды нормативтен артық пайдаланғаны үшін жүк жөнелтушінің (вагон операторының) МӨЗ-ден есептеген ақысын Сатушыға өтеуге міндеттенеді. Бұл ретте Сатып алушы уәкілетті тұлғаның қолымен және Сатып алушының мөрімен төгілген кезде вагондарды нормативтен тыс пайдаланғаны үшін төлемді өтеу бойынша Сатушы жіберген вагондар тізілімін оны алған сәттен бастап күнтізбелік 10 (он) күн ішінде қайтаруға міндетті. Сатып алушы Сатушының Сатып алушыға ұстап қалу туралы хабарламаны жіберу арқылы Шарт бойынша жүк жөнелтуші МӨЗ-ден немесе вагон операторы есептеген ағызу кезінде вагондарды артық пайдаланғаны үшін төлемді Сатып алушыға Шарт бойынша немесе қандай болса да басқа шарттар немесе міндеттемелер бойынша тиесілі кез келген сомадан ұстап қалуға құқығы бар екендігімен келіседі.</w:t>
            </w:r>
          </w:p>
          <w:p>
            <w:pPr>
              <w:widowControl w:val="false"/>
              <w:numPr>
                <w:ilvl w:val="0"/>
                <w:numId w:val="22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түсіру (ағызу) операциялары аяқталғаннан кейін, Сатып алушы Сатушыға тағайындалған бекеттің мөрі басылған жүкқұжаттардың көшірмелерін беруге міндеттенеді.</w:t>
            </w:r>
          </w:p>
          <w:p>
            <w:pPr>
              <w:widowControl w:val="false"/>
              <w:numPr>
                <w:ilvl w:val="0"/>
                <w:numId w:val="224"/>
              </w:numPr>
              <w:tabs>
                <w:tab w:val="left" w:pos="0" w:leader="none"/>
              </w:tabs>
              <w:suppressAutoHyphens w:val="true"/>
              <w:spacing w:before="0" w:after="0" w:line="240"/>
              <w:ind w:right="0" w:left="494"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numPr>
                <w:ilvl w:val="0"/>
                <w:numId w:val="230"/>
              </w:numPr>
              <w:tabs>
                <w:tab w:val="left" w:pos="0" w:leader="none"/>
              </w:tabs>
              <w:suppressAutoHyphens w:val="true"/>
              <w:spacing w:before="0" w:after="0" w:line="240"/>
              <w:ind w:right="0" w:left="459"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вагон-цистернадан а</w:t>
            </w:r>
            <w:r>
              <w:rPr>
                <w:rFonts w:ascii="Times New Roman" w:hAnsi="Times New Roman" w:cs="Times New Roman" w:eastAsia="Times New Roman"/>
                <w:color w:val="auto"/>
                <w:spacing w:val="0"/>
                <w:position w:val="0"/>
                <w:sz w:val="24"/>
                <w:shd w:fill="auto" w:val="clear"/>
              </w:rPr>
              <w:t xml:space="preserve">ғызғаннан (түсіргеннен) кейін Сатып алушы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бункерлі типті вагондарда сұйық жүктерді құйып тасымалдау қағидаларының</w:t>
            </w:r>
            <w:r>
              <w:rPr>
                <w:rFonts w:ascii="Times New Roman" w:hAnsi="Times New Roman" w:cs="Times New Roman" w:eastAsia="Times New Roman"/>
                <w:color w:val="auto"/>
                <w:spacing w:val="0"/>
                <w:position w:val="0"/>
                <w:sz w:val="24"/>
                <w:shd w:fill="auto" w:val="clear"/>
              </w:rPr>
              <w:t xml:space="preserve">» 3.3-</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ғына сәйкес Тауар қалдықтарынан тазартылған бос вагон-цистерналарды экспедитор / вагон операторының нұсқауларына сәйкес техникалық ақаусыз және коммерциялық жарамды күйде, бағдарлар бойынша жөнелтуді қамтамасыз етуге міндеттенеді. Тазалауды қамтамасыз етпеген жағдайда, Сатып алушы Сатушыға (егер Тауарды тасымалдауды Сатушы ұйымдастырған болса) жүк жөнелтушінің МӨЗ-бен немесе экспедитормен / вагон операторымен осындай цистерналарды тазалауға есептеген шығыстарын, сондай-ақ вагон-цистерналарды тазалау орындарына (жуу-буландыру бекеттеріне) және тазалау орнынан вагон операторы көрсеткен бекетке жеткізу үшін тасу ақыларын (теміржол тарифтерін) төлеу бойынша шығыстарды өтеуге міндеттенеді.</w:t>
            </w:r>
          </w:p>
          <w:p>
            <w:pPr>
              <w:widowControl w:val="false"/>
              <w:spacing w:before="0" w:after="0" w:line="240"/>
              <w:ind w:right="0" w:left="0" w:firstLine="0"/>
              <w:jc w:val="left"/>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3"/>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3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6"/>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40"/>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40"/>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 внести в редакцию Продавца.</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6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1"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в результате разницы между фактически отгруженным и оплаченным Товаром,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письменного требования согласно Образцу Продавца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5"/>
              </w:numPr>
              <w:tabs>
                <w:tab w:val="left" w:pos="708" w:leader="none"/>
                <w:tab w:val="left" w:pos="744" w:leader="none"/>
              </w:tabs>
              <w:suppressAutoHyphens w:val="true"/>
              <w:spacing w:before="0" w:after="0" w:line="240"/>
              <w:ind w:right="0" w:left="540" w:hanging="54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55"/>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ЕТЖ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9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2"/>
              </w:numPr>
              <w:tabs>
                <w:tab w:val="left" w:pos="0" w:leader="none"/>
              </w:tabs>
              <w:suppressAutoHyphens w:val="true"/>
              <w:spacing w:before="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4"/>
              </w:numPr>
              <w:tabs>
                <w:tab w:val="left" w:pos="0" w:leader="none"/>
              </w:tabs>
              <w:suppressAutoHyphens w:val="true"/>
              <w:spacing w:before="60" w:after="0" w:line="240"/>
              <w:ind w:right="0" w:left="491"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Сатушының үлгісі бойынша тиісті жазбаша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6"/>
              </w:numPr>
              <w:tabs>
                <w:tab w:val="left" w:pos="0" w:leader="none"/>
              </w:tabs>
              <w:suppressAutoHyphens w:val="true"/>
              <w:spacing w:before="60" w:after="0" w:line="240"/>
              <w:ind w:right="0" w:left="491" w:hanging="4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8"/>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 </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4"/>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7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7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7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4.7.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7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организации транспортировки Товара Продавцом, после передачи Товара согласно положениям Договора, Покупатель несет ответственность за техническое состояние цистерн. За повреждение железнодорожных цистерн Покупатель возмещает Продавцу убытки в размере стоимости поврежденных частей цистерн и расходов, связанных с ремонтом. В случае утери Покупатель возмещает Продавцу стоимость цистерны по рыночной оценке на момент утери.</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28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4"/>
              </w:numPr>
              <w:tabs>
                <w:tab w:val="left" w:pos="708" w:leader="none"/>
                <w:tab w:val="left" w:pos="744" w:leader="none"/>
              </w:tabs>
              <w:suppressAutoHyphens w:val="true"/>
              <w:spacing w:before="0" w:after="0" w:line="240"/>
              <w:ind w:right="0" w:left="540" w:hanging="54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29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numPr>
                <w:ilvl w:val="0"/>
                <w:numId w:val="29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numPr>
                <w:ilvl w:val="0"/>
                <w:numId w:val="29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4.7.-тармағының ережелеріне сәйкес өтеді.</w:t>
            </w:r>
          </w:p>
          <w:p>
            <w:pPr>
              <w:widowControl w:val="false"/>
              <w:numPr>
                <w:ilvl w:val="0"/>
                <w:numId w:val="29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29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тасымалдауды Сатушы  </w:t>
            </w:r>
            <w:r>
              <w:rPr>
                <w:rFonts w:ascii="Times New Roman" w:hAnsi="Times New Roman" w:cs="Times New Roman" w:eastAsia="Times New Roman"/>
                <w:color w:val="auto"/>
                <w:spacing w:val="0"/>
                <w:position w:val="0"/>
                <w:sz w:val="24"/>
                <w:shd w:fill="auto" w:val="clear"/>
              </w:rPr>
              <w:t xml:space="preserve">ұйымдастырған жағдайда, Шарттың ережелеріне сәйкес Тауар табысталғаннан кейін Сатып алушы цистерналардың техникалық жай-күйіне жауапты болады. Теміржол цистерналарының зақымдалуы үшін Сатып алушы Сатушыға цистерналардың зақымдалған бөліктерінің құны және жөндеуге байланысты шығындар мөлшерінде залалды өтейді. Жоғалтқан жағдайда Сатып алушы Сатушыға цистернаның құнын жоғалту кезіндегі нарықтық құны бойынша өтейді.</w:t>
            </w:r>
          </w:p>
          <w:p>
            <w:pPr>
              <w:widowControl w:val="false"/>
              <w:numPr>
                <w:ilvl w:val="0"/>
                <w:numId w:val="29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numPr>
                <w:ilvl w:val="0"/>
                <w:numId w:val="29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numPr>
                <w:ilvl w:val="0"/>
                <w:numId w:val="29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29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01"/>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6"/>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suppressAutoHyphens w:val="true"/>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0"/>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314"/>
              </w:numPr>
              <w:tabs>
                <w:tab w:val="left" w:pos="0" w:leader="none"/>
              </w:tabs>
              <w:suppressAutoHyphens w:val="true"/>
              <w:spacing w:before="0" w:after="160" w:line="240"/>
              <w:ind w:right="97" w:left="459"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17"/>
              </w:numPr>
              <w:tabs>
                <w:tab w:val="left" w:pos="0" w:leader="none"/>
              </w:tabs>
              <w:suppressAutoHyphens w:val="true"/>
              <w:spacing w:before="0" w:after="16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60" w:line="240"/>
              <w:ind w:right="97"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9"/>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160" w:line="240"/>
              <w:ind w:right="97" w:left="598"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Продавцом и/или Покупателем,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24"/>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26"/>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210"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numPr>
                <w:ilvl w:val="0"/>
                <w:numId w:val="330"/>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30"/>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numPr>
                <w:ilvl w:val="0"/>
                <w:numId w:val="333"/>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35"/>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36"/>
              </w:numPr>
              <w:tabs>
                <w:tab w:val="left" w:pos="0" w:leader="none"/>
              </w:tabs>
              <w:spacing w:before="0" w:after="0" w:line="240"/>
              <w:ind w:right="93" w:left="74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Сатушының және/немесе Сатып алушының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44"/>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5"/>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55"/>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58"/>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62"/>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suppressAutoHyphens w:val="true"/>
              <w:spacing w:before="0" w:after="0" w:line="240"/>
              <w:ind w:right="0" w:left="639"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65"/>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67"/>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7"/>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69"/>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7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71"/>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4"/>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numPr>
                <w:ilvl w:val="0"/>
                <w:numId w:val="374"/>
              </w:numPr>
              <w:tabs>
                <w:tab w:val="left" w:pos="708" w:leader="none"/>
                <w:tab w:val="left" w:pos="604" w:leader="none"/>
              </w:tabs>
              <w:suppressAutoHyphens w:val="true"/>
              <w:spacing w:before="0" w:after="0" w:line="240"/>
              <w:ind w:right="0" w:left="60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0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0" w:line="240"/>
              <w:ind w:right="0" w:left="567" w:hanging="39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14. </w:t>
            </w: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0"/>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suppressAutoHyphens w:val="true"/>
              <w:spacing w:before="0" w:after="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9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(2)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9"/>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5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4"/>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74"/>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7"/>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tc>
        <w:tc>
          <w:tcPr>
            <w:tcW w:w="510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16"/>
        <w:gridCol w:w="5132"/>
      </w:tblGrid>
      <w:tr>
        <w:trPr>
          <w:trHeight w:val="2117" w:hRule="auto"/>
          <w:jc w:val="left"/>
        </w:trPr>
        <w:tc>
          <w:tcPr>
            <w:tcW w:w="5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60"/>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62"/>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Текесу,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7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472"/>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47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47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479"/>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8">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9">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86"/>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Текесу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10">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11">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16"/>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68">
    <w:lvl w:ilvl="0">
      <w:start w:val="1"/>
      <w:numFmt w:val="bullet"/>
      <w:lvlText w:val="•"/>
    </w:lvl>
  </w:abstractNum>
  <w:abstractNum w:abstractNumId="474">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480">
    <w:lvl w:ilvl="0">
      <w:start w:val="1"/>
      <w:numFmt w:val="bullet"/>
      <w:lvlText w:val="•"/>
    </w:lvl>
  </w:abstractNum>
  <w:abstractNum w:abstractNumId="486">
    <w:lvl w:ilvl="0">
      <w:start w:val="1"/>
      <w:numFmt w:val="bullet"/>
      <w:lvlText w:val="•"/>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num w:numId="7">
    <w:abstractNumId w:val="486"/>
  </w:num>
  <w:num w:numId="50">
    <w:abstractNumId w:val="480"/>
  </w:num>
  <w:num w:numId="61">
    <w:abstractNumId w:val="474"/>
  </w:num>
  <w:num w:numId="73">
    <w:abstractNumId w:val="468"/>
  </w:num>
  <w:num w:numId="82">
    <w:abstractNumId w:val="462"/>
  </w:num>
  <w:num w:numId="116">
    <w:abstractNumId w:val="456"/>
  </w:num>
  <w:num w:numId="119">
    <w:abstractNumId w:val="450"/>
  </w:num>
  <w:num w:numId="121">
    <w:abstractNumId w:val="444"/>
  </w:num>
  <w:num w:numId="125">
    <w:abstractNumId w:val="438"/>
  </w:num>
  <w:num w:numId="129">
    <w:abstractNumId w:val="432"/>
  </w:num>
  <w:num w:numId="133">
    <w:abstractNumId w:val="426"/>
  </w:num>
  <w:num w:numId="135">
    <w:abstractNumId w:val="420"/>
  </w:num>
  <w:num w:numId="139">
    <w:abstractNumId w:val="414"/>
  </w:num>
  <w:num w:numId="147">
    <w:abstractNumId w:val="408"/>
  </w:num>
  <w:num w:numId="149">
    <w:abstractNumId w:val="402"/>
  </w:num>
  <w:num w:numId="151">
    <w:abstractNumId w:val="396"/>
  </w:num>
  <w:num w:numId="153">
    <w:abstractNumId w:val="390"/>
  </w:num>
  <w:num w:numId="156">
    <w:abstractNumId w:val="384"/>
  </w:num>
  <w:num w:numId="160">
    <w:abstractNumId w:val="378"/>
  </w:num>
  <w:num w:numId="162">
    <w:abstractNumId w:val="372"/>
  </w:num>
  <w:num w:numId="167">
    <w:abstractNumId w:val="366"/>
  </w:num>
  <w:num w:numId="172">
    <w:abstractNumId w:val="360"/>
  </w:num>
  <w:num w:numId="176">
    <w:abstractNumId w:val="354"/>
  </w:num>
  <w:num w:numId="181">
    <w:abstractNumId w:val="348"/>
  </w:num>
  <w:num w:numId="184">
    <w:abstractNumId w:val="342"/>
  </w:num>
  <w:num w:numId="192">
    <w:abstractNumId w:val="336"/>
  </w:num>
  <w:num w:numId="196">
    <w:abstractNumId w:val="330"/>
  </w:num>
  <w:num w:numId="198">
    <w:abstractNumId w:val="324"/>
  </w:num>
  <w:num w:numId="200">
    <w:abstractNumId w:val="318"/>
  </w:num>
  <w:num w:numId="202">
    <w:abstractNumId w:val="312"/>
  </w:num>
  <w:num w:numId="207">
    <w:abstractNumId w:val="306"/>
  </w:num>
  <w:num w:numId="209">
    <w:abstractNumId w:val="300"/>
  </w:num>
  <w:num w:numId="211">
    <w:abstractNumId w:val="294"/>
  </w:num>
  <w:num w:numId="214">
    <w:abstractNumId w:val="288"/>
  </w:num>
  <w:num w:numId="216">
    <w:abstractNumId w:val="282"/>
  </w:num>
  <w:num w:numId="220">
    <w:abstractNumId w:val="276"/>
  </w:num>
  <w:num w:numId="224">
    <w:abstractNumId w:val="270"/>
  </w:num>
  <w:num w:numId="230">
    <w:abstractNumId w:val="264"/>
  </w:num>
  <w:num w:numId="233">
    <w:abstractNumId w:val="258"/>
  </w:num>
  <w:num w:numId="236">
    <w:abstractNumId w:val="252"/>
  </w:num>
  <w:num w:numId="240">
    <w:abstractNumId w:val="246"/>
  </w:num>
  <w:num w:numId="255">
    <w:abstractNumId w:val="240"/>
  </w:num>
  <w:num w:numId="262">
    <w:abstractNumId w:val="234"/>
  </w:num>
  <w:num w:numId="264">
    <w:abstractNumId w:val="228"/>
  </w:num>
  <w:num w:numId="266">
    <w:abstractNumId w:val="222"/>
  </w:num>
  <w:num w:numId="268">
    <w:abstractNumId w:val="216"/>
  </w:num>
  <w:num w:numId="274">
    <w:abstractNumId w:val="210"/>
  </w:num>
  <w:num w:numId="277">
    <w:abstractNumId w:val="204"/>
  </w:num>
  <w:num w:numId="280">
    <w:abstractNumId w:val="198"/>
  </w:num>
  <w:num w:numId="282">
    <w:abstractNumId w:val="192"/>
  </w:num>
  <w:num w:numId="284">
    <w:abstractNumId w:val="186"/>
  </w:num>
  <w:num w:numId="286">
    <w:abstractNumId w:val="180"/>
  </w:num>
  <w:num w:numId="288">
    <w:abstractNumId w:val="174"/>
  </w:num>
  <w:num w:numId="290">
    <w:abstractNumId w:val="168"/>
  </w:num>
  <w:num w:numId="292">
    <w:abstractNumId w:val="162"/>
  </w:num>
  <w:num w:numId="294">
    <w:abstractNumId w:val="156"/>
  </w:num>
  <w:num w:numId="297">
    <w:abstractNumId w:val="150"/>
  </w:num>
  <w:num w:numId="299">
    <w:abstractNumId w:val="144"/>
  </w:num>
  <w:num w:numId="301">
    <w:abstractNumId w:val="138"/>
  </w:num>
  <w:num w:numId="304">
    <w:abstractNumId w:val="132"/>
  </w:num>
  <w:num w:numId="306">
    <w:abstractNumId w:val="126"/>
  </w:num>
  <w:num w:numId="308">
    <w:abstractNumId w:val="120"/>
  </w:num>
  <w:num w:numId="310">
    <w:abstractNumId w:val="114"/>
  </w:num>
  <w:num w:numId="312">
    <w:abstractNumId w:val="108"/>
  </w:num>
  <w:num w:numId="314">
    <w:abstractNumId w:val="102"/>
  </w:num>
  <w:num w:numId="317">
    <w:abstractNumId w:val="96"/>
  </w:num>
  <w:num w:numId="319">
    <w:abstractNumId w:val="90"/>
  </w:num>
  <w:num w:numId="324">
    <w:abstractNumId w:val="84"/>
  </w:num>
  <w:num w:numId="326">
    <w:abstractNumId w:val="78"/>
  </w:num>
  <w:num w:numId="330">
    <w:abstractNumId w:val="72"/>
  </w:num>
  <w:num w:numId="333">
    <w:abstractNumId w:val="109"/>
  </w:num>
  <w:num w:numId="335">
    <w:abstractNumId w:val="103"/>
  </w:num>
  <w:num w:numId="336">
    <w:abstractNumId w:val="66"/>
  </w:num>
  <w:num w:numId="344">
    <w:abstractNumId w:val="60"/>
  </w:num>
  <w:num w:numId="350">
    <w:abstractNumId w:val="54"/>
  </w:num>
  <w:num w:numId="355">
    <w:abstractNumId w:val="48"/>
  </w:num>
  <w:num w:numId="358">
    <w:abstractNumId w:val="42"/>
  </w:num>
  <w:num w:numId="362">
    <w:abstractNumId w:val="36"/>
  </w:num>
  <w:num w:numId="365">
    <w:abstractNumId w:val="30"/>
  </w:num>
  <w:num w:numId="367">
    <w:abstractNumId w:val="24"/>
  </w:num>
  <w:num w:numId="369">
    <w:abstractNumId w:val="97"/>
  </w:num>
  <w:num w:numId="371">
    <w:abstractNumId w:val="91"/>
  </w:num>
  <w:num w:numId="374">
    <w:abstractNumId w:val="18"/>
  </w:num>
  <w:num w:numId="381">
    <w:abstractNumId w:val="12"/>
  </w:num>
  <w:num w:numId="384">
    <w:abstractNumId w:val="85"/>
  </w:num>
  <w:num w:numId="388">
    <w:abstractNumId w:val="79"/>
  </w:num>
  <w:num w:numId="390">
    <w:abstractNumId w:val="73"/>
  </w:num>
  <w:num w:numId="393">
    <w:abstractNumId w:val="67"/>
  </w:num>
  <w:num w:numId="396">
    <w:abstractNumId w:val="61"/>
  </w:num>
  <w:num w:numId="399">
    <w:abstractNumId w:val="55"/>
  </w:num>
  <w:num w:numId="402">
    <w:abstractNumId w:val="49"/>
  </w:num>
  <w:num w:numId="404">
    <w:abstractNumId w:val="43"/>
  </w:num>
  <w:num w:numId="409">
    <w:abstractNumId w:val="37"/>
  </w:num>
  <w:num w:numId="414">
    <w:abstractNumId w:val="6"/>
  </w:num>
  <w:num w:numId="427">
    <w:abstractNumId w:val="0"/>
  </w:num>
  <w:num w:numId="460">
    <w:abstractNumId w:val="31"/>
  </w:num>
  <w:num w:numId="462">
    <w:abstractNumId w:val="25"/>
  </w:num>
  <w:num w:numId="472">
    <w:abstractNumId w:val="19"/>
  </w:num>
  <w:num w:numId="479">
    <w:abstractNumId w:val="13"/>
  </w:num>
  <w:num w:numId="486">
    <w:abstractNumId w:val="7"/>
  </w:num>
  <w:num w:numId="516">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mailto:azk_almaz@list.ru" Id="docRId10" Type="http://schemas.openxmlformats.org/officeDocument/2006/relationships/hyperlink" /><Relationship TargetMode="External" Target="mailto:complaint.hotline@petrokazakhstan.com" Id="docRId2" Type="http://schemas.openxmlformats.org/officeDocument/2006/relationships/hyperlink" /><Relationship TargetMode="External" Target="mailto:azk_almaz@list.ru" Id="docRId6" Type="http://schemas.openxmlformats.org/officeDocument/2006/relationships/hyperlink" /><Relationship TargetMode="External" Target="http://www.ets.kz/" Id="docRId1" Type="http://schemas.openxmlformats.org/officeDocument/2006/relationships/hyperlink" /><Relationship TargetMode="External" Target="mailto:azk_almaz@list.ru" Id="docRId11" Type="http://schemas.openxmlformats.org/officeDocument/2006/relationships/hyperlink" /><Relationship TargetMode="External" Target="mailto:azk_almaz@list.ru" Id="docRId5" Type="http://schemas.openxmlformats.org/officeDocument/2006/relationships/hyperlink" /><Relationship TargetMode="External" Target="mailto:azk_almaz@list.ru" Id="docRId9" Type="http://schemas.openxmlformats.org/officeDocument/2006/relationships/hyperlink" /><Relationship TargetMode="External" Target="http://www.ets.kz/" Id="docRId0" Type="http://schemas.openxmlformats.org/officeDocument/2006/relationships/hyperlink" /><Relationship Target="numbering.xml" Id="docRId12" Type="http://schemas.openxmlformats.org/officeDocument/2006/relationships/numbering" /><Relationship TargetMode="External" Target="mailto:azk_almaz@list.ru" Id="docRId4" Type="http://schemas.openxmlformats.org/officeDocument/2006/relationships/hyperlink" /><Relationship TargetMode="External" Target="mailto:azk_almaz@list.ru" Id="docRId8" Type="http://schemas.openxmlformats.org/officeDocument/2006/relationships/hyperlink" /></Relationships>
</file>