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РТ маркалы реактивтік </w:t>
      </w:r>
      <w:r>
        <w:rPr>
          <w:rFonts w:ascii="Times New Roman" w:hAnsi="Times New Roman" w:cs="Times New Roman" w:eastAsia="Times New Roman"/>
          <w:color w:val="000000"/>
          <w:spacing w:val="0"/>
          <w:position w:val="0"/>
          <w:sz w:val="24"/>
          <w:shd w:fill="auto" w:val="clear"/>
        </w:rPr>
        <w:t xml:space="preserve">қозғалтқыштарға арналған отын. Жеткізу шарттары: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w:t>
      </w:r>
      <w:r>
        <w:rPr>
          <w:rFonts w:ascii="Times New Roman" w:hAnsi="Times New Roman" w:cs="Times New Roman" w:eastAsia="Times New Roman"/>
          <w:color w:val="000000"/>
          <w:spacing w:val="0"/>
          <w:position w:val="0"/>
          <w:sz w:val="24"/>
          <w:shd w:fill="auto" w:val="clear"/>
        </w:rPr>
        <w:t xml:space="preserve">ңдік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теміржол к</w:t>
      </w:r>
      <w:r>
        <w:rPr>
          <w:rFonts w:ascii="Times New Roman" w:hAnsi="Times New Roman" w:cs="Times New Roman" w:eastAsia="Times New Roman"/>
          <w:color w:val="000000"/>
          <w:spacing w:val="0"/>
          <w:position w:val="0"/>
          <w:sz w:val="24"/>
          <w:shd w:fill="auto" w:val="clear"/>
        </w:rPr>
        <w:t xml:space="preserve">өлігі (қосарланған қарсы аукцион режиміндегі биржалық сауда-саттықтар үшін) </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РТ маркалы реактивтік </w:t>
            </w:r>
            <w:r>
              <w:rPr>
                <w:rFonts w:ascii="Times New Roman" w:hAnsi="Times New Roman" w:cs="Times New Roman" w:eastAsia="Times New Roman"/>
                <w:color w:val="000000"/>
                <w:spacing w:val="0"/>
                <w:position w:val="0"/>
                <w:sz w:val="24"/>
                <w:shd w:fill="auto" w:val="clear"/>
              </w:rPr>
              <w:t xml:space="preserve">қозғалтқыштарға арналған отын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РТ маркалы реактивтік </w:t>
            </w:r>
            <w:r>
              <w:rPr>
                <w:rFonts w:ascii="Times New Roman" w:hAnsi="Times New Roman" w:cs="Times New Roman" w:eastAsia="Times New Roman"/>
                <w:color w:val="000000"/>
                <w:spacing w:val="0"/>
                <w:position w:val="0"/>
                <w:sz w:val="24"/>
                <w:shd w:fill="auto" w:val="clear"/>
              </w:rPr>
              <w:t xml:space="preserve">қозғалтқыштарға арналған отын сапалық сипаттамалары:</w:t>
            </w:r>
          </w:p>
          <w:tbl>
            <w:tblPr/>
            <w:tblGrid>
              <w:gridCol w:w="3289"/>
              <w:gridCol w:w="3402"/>
            </w:tblGrid>
            <w:tr>
              <w:trPr>
                <w:trHeight w:val="1" w:hRule="atLeast"/>
                <w:jc w:val="left"/>
              </w:trPr>
              <w:tc>
                <w:tcPr>
                  <w:tcW w:w="3289"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402"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w:t>
                  </w:r>
                  <w:r>
                    <w:rPr>
                      <w:rFonts w:ascii="Times New Roman" w:hAnsi="Times New Roman" w:cs="Times New Roman" w:eastAsia="Times New Roman"/>
                      <w:color w:val="000000"/>
                      <w:spacing w:val="0"/>
                      <w:position w:val="0"/>
                      <w:sz w:val="24"/>
                      <w:shd w:fill="auto" w:val="clear"/>
                    </w:rPr>
                    <w:t xml:space="preserve">С кезіндегі ты</w:t>
                  </w:r>
                  <w:r>
                    <w:rPr>
                      <w:rFonts w:ascii="Times New Roman" w:hAnsi="Times New Roman" w:cs="Times New Roman" w:eastAsia="Times New Roman"/>
                      <w:color w:val="000000"/>
                      <w:spacing w:val="0"/>
                      <w:position w:val="0"/>
                      <w:sz w:val="24"/>
                      <w:shd w:fill="auto" w:val="clear"/>
                    </w:rPr>
                    <w:t xml:space="preserve">ғыздық, кг/м3, кемінде </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775-780</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Высота некоптящего пламени, мм, кемінде</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Кислотность, мг КОН на 100 см3 топлива, не более</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0,7</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Температура вспышки, определяемая в закрытом тигле, </w:t>
                  </w:r>
                  <w:r>
                    <w:rPr>
                      <w:rFonts w:ascii="Times New Roman" w:hAnsi="Times New Roman" w:cs="Times New Roman" w:eastAsia="Times New Roman"/>
                      <w:color w:val="000000"/>
                      <w:spacing w:val="0"/>
                      <w:position w:val="0"/>
                      <w:sz w:val="24"/>
                      <w:shd w:fill="auto" w:val="clear"/>
                      <w:vertAlign w:val="superscript"/>
                    </w:rPr>
                    <w:t xml:space="preserve">0</w:t>
                  </w:r>
                  <w:r>
                    <w:rPr>
                      <w:rFonts w:ascii="Times New Roman" w:hAnsi="Times New Roman" w:cs="Times New Roman" w:eastAsia="Times New Roman"/>
                      <w:color w:val="000000"/>
                      <w:spacing w:val="0"/>
                      <w:position w:val="0"/>
                      <w:sz w:val="24"/>
                      <w:shd w:fill="auto" w:val="clear"/>
                    </w:rPr>
                    <w:t xml:space="preserve">С, не ниже </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28</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 сапа көрсеткіштері</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өзделген нормалар шегінде ГОСТ 10227-86</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w:t>
            </w:r>
            <w:r>
              <w:rPr>
                <w:rFonts w:ascii="Times New Roman" w:hAnsi="Times New Roman" w:cs="Times New Roman" w:eastAsia="Times New Roman"/>
                <w:color w:val="000000"/>
                <w:spacing w:val="0"/>
                <w:position w:val="0"/>
                <w:sz w:val="24"/>
                <w:shd w:fill="auto" w:val="clear"/>
              </w:rPr>
              <w:t xml:space="preserve">қол қою жеткізу шартының</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подписанного с двух сторон жеткізу шартыны</w:t>
            </w:r>
            <w:r>
              <w:rPr>
                <w:rFonts w:ascii="Times New Roman" w:hAnsi="Times New Roman" w:cs="Times New Roman" w:eastAsia="Times New Roman"/>
                <w:color w:val="000000"/>
                <w:spacing w:val="0"/>
                <w:position w:val="0"/>
                <w:sz w:val="24"/>
                <w:shd w:fill="auto" w:val="clear"/>
              </w:rPr>
              <w:t xml:space="preserve">ң в Клирингтік орталық</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поступления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 в Клирингтік орталық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уведомления Клиринговым центром продавца о поступлении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жеткізу/ж</w:t>
            </w:r>
            <w:r>
              <w:rPr>
                <w:rFonts w:ascii="Times New Roman" w:hAnsi="Times New Roman" w:cs="Times New Roman" w:eastAsia="Times New Roman"/>
                <w:color w:val="000000"/>
                <w:spacing w:val="0"/>
                <w:position w:val="0"/>
                <w:sz w:val="24"/>
                <w:shd w:fill="auto" w:val="clear"/>
              </w:rPr>
              <w:t xml:space="preserve">өнелту товара продавцом</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покупателю, об орындалуы всех міндеттемелердің, об оплате за товар, о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покупателем в Клирингтік орталы</w:t>
            </w:r>
            <w:r>
              <w:rPr>
                <w:rFonts w:ascii="Times New Roman" w:hAnsi="Times New Roman" w:cs="Times New Roman" w:eastAsia="Times New Roman"/>
                <w:color w:val="000000"/>
                <w:spacing w:val="0"/>
                <w:position w:val="0"/>
                <w:sz w:val="24"/>
                <w:shd w:fill="auto" w:val="clear"/>
              </w:rPr>
              <w:t xml:space="preserve">қ письма об орындалуы всех міндеттемелердің, об оплате за товар и для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аудару Клиринговым центром а</w:t>
            </w:r>
            <w:r>
              <w:rPr>
                <w:rFonts w:ascii="Times New Roman" w:hAnsi="Times New Roman" w:cs="Times New Roman" w:eastAsia="Times New Roman"/>
                <w:color w:val="000000"/>
                <w:spacing w:val="0"/>
                <w:position w:val="0"/>
                <w:sz w:val="24"/>
                <w:shd w:fill="auto" w:val="clear"/>
              </w:rPr>
              <w:t xml:space="preserve">қшалай қаражаттың продавцу</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б</w:t>
            </w:r>
            <w:r>
              <w:rPr>
                <w:rFonts w:ascii="Times New Roman" w:hAnsi="Times New Roman" w:cs="Times New Roman" w:eastAsia="Times New Roman"/>
                <w:color w:val="000000"/>
                <w:spacing w:val="0"/>
                <w:position w:val="0"/>
                <w:sz w:val="24"/>
                <w:shd w:fill="auto" w:val="clear"/>
              </w:rPr>
              <w:t xml:space="preserve">ұғаттан босату биржевого обеспечения (БО) Клиринговым центром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1"/>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DADFCEA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АНПЗ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РТ реактивтік </w:t>
      </w:r>
      <w:r>
        <w:rPr>
          <w:rFonts w:ascii="Times New Roman" w:hAnsi="Times New Roman" w:cs="Times New Roman" w:eastAsia="Times New Roman"/>
          <w:color w:val="000000"/>
          <w:spacing w:val="0"/>
          <w:position w:val="0"/>
          <w:sz w:val="24"/>
          <w:shd w:fill="auto" w:val="clear"/>
        </w:rPr>
        <w:t xml:space="preserve">қозғалтқыштарға арналған отын; </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w:t>
      </w:r>
      <w:r>
        <w:rPr>
          <w:rFonts w:ascii="Times New Roman" w:hAnsi="Times New Roman" w:cs="Times New Roman" w:eastAsia="Times New Roman"/>
          <w:color w:val="000000"/>
          <w:spacing w:val="0"/>
          <w:position w:val="0"/>
          <w:sz w:val="24"/>
          <w:shd w:fill="auto" w:val="clear"/>
        </w:rPr>
        <w:t xml:space="preserve">ңдік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15 % (</w:t>
      </w:r>
      <w:r>
        <w:rPr>
          <w:rFonts w:ascii="Times New Roman" w:hAnsi="Times New Roman" w:cs="Times New Roman" w:eastAsia="Times New Roman"/>
          <w:color w:val="000000"/>
          <w:spacing w:val="0"/>
          <w:position w:val="0"/>
          <w:sz w:val="24"/>
          <w:shd w:fill="auto" w:val="clear"/>
        </w:rPr>
        <w:t xml:space="preserve">он бес пайыз) болжамды м</w:t>
      </w:r>
      <w:r>
        <w:rPr>
          <w:rFonts w:ascii="Times New Roman" w:hAnsi="Times New Roman" w:cs="Times New Roman" w:eastAsia="Times New Roman"/>
          <w:color w:val="000000"/>
          <w:spacing w:val="0"/>
          <w:position w:val="0"/>
          <w:sz w:val="24"/>
          <w:shd w:fill="auto" w:val="clear"/>
        </w:rPr>
        <w:t xml:space="preserve">әміле (өтінім) сомасынан;</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+/- 15 (</w:t>
      </w:r>
      <w:r>
        <w:rPr>
          <w:rFonts w:ascii="Times New Roman" w:hAnsi="Times New Roman" w:cs="Times New Roman" w:eastAsia="Times New Roman"/>
          <w:color w:val="000000"/>
          <w:spacing w:val="0"/>
          <w:position w:val="0"/>
          <w:sz w:val="24"/>
          <w:shd w:fill="auto" w:val="clear"/>
        </w:rPr>
        <w:t xml:space="preserve">он бес) метрлік тонна бір сауда лотына;</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Тауармен жасалатын биржалық мәміле ресімделуге тиіс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мұнай өнімдерін сатып алу-сату шартының үлгілік нысанына сәйкес. Данная форма договора содержит базовые жеткізу шарттары товара, которые могут быть при необходимости дополнены сторонами в итоговом договоре, подписываемом сторонами;</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тиісті 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тараптар оны орындау кезінде міндетті түрде қолдануға жатады.</w:t>
      </w:r>
    </w:p>
    <w:p>
      <w:pPr>
        <w:widowControl w:val="false"/>
        <w:numPr>
          <w:ilvl w:val="0"/>
          <w:numId w:val="7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 типовому договору Клирингтік орталы</w:t>
            </w:r>
            <w:r>
              <w:rPr>
                <w:rFonts w:ascii="Times New Roman" w:hAnsi="Times New Roman" w:cs="Times New Roman" w:eastAsia="Times New Roman"/>
                <w:color w:val="000000"/>
                <w:spacing w:val="0"/>
                <w:position w:val="0"/>
                <w:sz w:val="24"/>
                <w:shd w:fill="auto" w:val="clear"/>
              </w:rPr>
              <w:t xml:space="preserve">қтың</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w:t>
            </w:r>
            <w:r>
              <w:rPr>
                <w:rFonts w:ascii="Times New Roman" w:hAnsi="Times New Roman" w:cs="Times New Roman" w:eastAsia="Times New Roman"/>
                <w:color w:val="000000"/>
                <w:spacing w:val="0"/>
                <w:position w:val="0"/>
                <w:sz w:val="24"/>
                <w:shd w:fill="auto" w:val="clear"/>
              </w:rPr>
              <w:t xml:space="preserve">қол қою жеткізу шартының и/или дополнительного соглашения/приложения к договору жеткізу, заключаемый на основании биржевой сделки.</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82"/>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82"/>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шартына және/немесе тауарды жеткізу шартына қосымша келісімге/қосымшаға қол қояды;</w:t>
      </w:r>
    </w:p>
    <w:p>
      <w:pPr>
        <w:widowControl w:val="false"/>
        <w:numPr>
          <w:ilvl w:val="0"/>
          <w:numId w:val="82"/>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82"/>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+ 4 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+ 30 </w:t>
            </w:r>
            <w:r>
              <w:rPr>
                <w:rFonts w:ascii="Times New Roman" w:hAnsi="Times New Roman" w:cs="Times New Roman" w:eastAsia="Times New Roman"/>
                <w:color w:val="000000"/>
                <w:spacing w:val="0"/>
                <w:position w:val="0"/>
                <w:sz w:val="24"/>
                <w:shd w:fill="auto" w:val="clear"/>
              </w:rPr>
              <w:t xml:space="preserve">до 16:00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Сатушы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Сатып алушыға, об орындалуы всех міндеттемелердің, о разблокировке биржевого обеспечения</w:t>
            </w:r>
          </w:p>
        </w:tc>
      </w:tr>
    </w:tbl>
    <w:p>
      <w:pPr>
        <w:widowControl w:val="false"/>
        <w:numPr>
          <w:ilvl w:val="0"/>
          <w:numId w:val="94"/>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4 жұмыс күнінен кешіктірмей мәміле сомасының 100%-ын Клирингтік орталықтың банктік шотына аударады;</w:t>
      </w:r>
    </w:p>
    <w:p>
      <w:pPr>
        <w:widowControl w:val="false"/>
        <w:numPr>
          <w:ilvl w:val="0"/>
          <w:numId w:val="94"/>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94"/>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Ерекшелікке сәйкес және оның талаптарымен жөнелтеді;</w:t>
      </w:r>
    </w:p>
    <w:p>
      <w:pPr>
        <w:widowControl w:val="false"/>
        <w:numPr>
          <w:ilvl w:val="0"/>
          <w:numId w:val="94"/>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94"/>
        </w:numPr>
        <w:tabs>
          <w:tab w:val="left" w:pos="284" w:leader="none"/>
        </w:tabs>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numPr>
          <w:ilvl w:val="0"/>
          <w:numId w:val="9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 хат;</w:t>
      </w:r>
    </w:p>
    <w:p>
      <w:pPr>
        <w:widowControl w:val="false"/>
        <w:numPr>
          <w:ilvl w:val="0"/>
          <w:numId w:val="9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numPr>
          <w:ilvl w:val="0"/>
          <w:numId w:val="9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 тарапынан </w:t>
      </w:r>
      <w:r>
        <w:rPr>
          <w:rFonts w:ascii="Times New Roman" w:hAnsi="Times New Roman" w:cs="Times New Roman" w:eastAsia="Times New Roman"/>
          <w:b/>
          <w:color w:val="auto"/>
          <w:spacing w:val="0"/>
          <w:position w:val="0"/>
          <w:sz w:val="24"/>
          <w:shd w:fill="auto" w:val="clear"/>
        </w:rPr>
        <w:t xml:space="preserve">қол қойылған тауарға ілеспе жүкқұжат).</w:t>
      </w:r>
    </w:p>
    <w:p>
      <w:pPr>
        <w:widowControl w:val="false"/>
        <w:numPr>
          <w:ilvl w:val="0"/>
          <w:numId w:val="9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94"/>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хат ұсыну мерзімі, об оплате за товар и для бұғаттан босату биржевого обеспечения</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0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numPr>
          <w:ilvl w:val="0"/>
          <w:numId w:val="10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numPr>
          <w:ilvl w:val="0"/>
          <w:numId w:val="10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 б</w:t>
      </w:r>
      <w:r>
        <w:rPr>
          <w:rFonts w:ascii="Times New Roman" w:hAnsi="Times New Roman" w:cs="Times New Roman" w:eastAsia="Times New Roman"/>
          <w:b/>
          <w:color w:val="auto"/>
          <w:spacing w:val="0"/>
          <w:position w:val="0"/>
          <w:sz w:val="24"/>
          <w:shd w:fill="auto" w:val="clear"/>
        </w:rPr>
        <w:t xml:space="preserve">ұғаттан босату биржевого обеспечения по биржевой сделке.</w:t>
      </w:r>
    </w:p>
    <w:p>
      <w:pPr>
        <w:widowControl w:val="false"/>
        <w:numPr>
          <w:ilvl w:val="0"/>
          <w:numId w:val="10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производит разблокировку и возврат биржевого обеспечения сәйкес Правилами клиринга, кейін аудару Клиринговым центром ақшалай қаражаттың продавцу, алған күннен всех документов от продавца и покупателя сәйкес п. 4.4 и 5.1 высвобождает биржевое обеспечение под биржевую сделку.</w:t>
      </w:r>
    </w:p>
    <w:p>
      <w:pPr>
        <w:widowControl w:val="false"/>
        <w:numPr>
          <w:ilvl w:val="0"/>
          <w:numId w:val="10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104"/>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Биржавправе внести </w:t>
      </w:r>
      <w:r>
        <w:rPr>
          <w:rFonts w:ascii="Times New Roman" w:hAnsi="Times New Roman" w:cs="Times New Roman" w:eastAsia="Times New Roman"/>
          <w:color w:val="000000"/>
          <w:spacing w:val="0"/>
          <w:position w:val="0"/>
          <w:sz w:val="24"/>
          <w:shd w:fill="auto" w:val="clear"/>
        </w:rPr>
        <w:t xml:space="preserve">өзгерістер мен толықтырулар в Спецификацию путем утверждения ее в новой редакции.</w:t>
      </w:r>
    </w:p>
    <w:p>
      <w:pPr>
        <w:widowControl w:val="false"/>
        <w:numPr>
          <w:ilvl w:val="0"/>
          <w:numId w:val="104"/>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Ерекшелікс изменениями и дополнениями к</w:t>
      </w:r>
      <w:r>
        <w:rPr>
          <w:rFonts w:ascii="Times New Roman" w:hAnsi="Times New Roman" w:cs="Times New Roman" w:eastAsia="Times New Roman"/>
          <w:color w:val="000000"/>
          <w:spacing w:val="0"/>
          <w:position w:val="0"/>
          <w:sz w:val="24"/>
          <w:shd w:fill="auto" w:val="clear"/>
        </w:rPr>
        <w:t xml:space="preserve">үшіне енеді со дня жарияланған ее на интернет-ресурсында Биржи.</w:t>
      </w:r>
    </w:p>
    <w:p>
      <w:pPr>
        <w:widowControl w:val="false"/>
        <w:numPr>
          <w:ilvl w:val="0"/>
          <w:numId w:val="104"/>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Публикация Спецификации на интернет-ресурсында Биржи ж</w:t>
      </w:r>
      <w:r>
        <w:rPr>
          <w:rFonts w:ascii="Times New Roman" w:hAnsi="Times New Roman" w:cs="Times New Roman" w:eastAsia="Times New Roman"/>
          <w:color w:val="000000"/>
          <w:spacing w:val="0"/>
          <w:position w:val="0"/>
          <w:sz w:val="24"/>
          <w:shd w:fill="auto" w:val="clear"/>
        </w:rPr>
        <w:t xml:space="preserve">үзеге асырылады кемінде чем за 3 (три) торговых дня до начала торгов по ней.</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 </w:t>
        <w:tab/>
      </w:r>
      <w:r>
        <w:rPr>
          <w:rFonts w:ascii="Times New Roman" w:hAnsi="Times New Roman" w:cs="Times New Roman" w:eastAsia="Times New Roman"/>
          <w:color w:val="000000"/>
          <w:spacing w:val="0"/>
          <w:position w:val="0"/>
          <w:sz w:val="24"/>
          <w:shd w:fill="auto" w:val="clear"/>
        </w:rPr>
        <w:t xml:space="preserve">Өзге шарттар</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шарттары, 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Спецификации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5529"/>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B2-___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w:t>
            </w:r>
            <w:r>
              <w:rPr>
                <w:rFonts w:ascii="Times New Roman" w:hAnsi="Times New Roman" w:cs="Times New Roman" w:eastAsia="Times New Roman"/>
                <w:b/>
                <w:color w:val="000000"/>
                <w:spacing w:val="0"/>
                <w:position w:val="0"/>
                <w:sz w:val="24"/>
                <w:shd w:fill="auto" w:val="clear"/>
              </w:rPr>
              <w:t xml:space="preserve">2026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 действующего на основании Устава,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заключили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0" w:firstLine="0"/>
              <w:jc w:val="left"/>
              <w:rPr>
                <w:spacing w:val="0"/>
                <w:position w:val="0"/>
                <w:sz w:val="24"/>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 </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w:t>
            </w:r>
            <w:r>
              <w:rPr>
                <w:rFonts w:ascii="Times New Roman" w:hAnsi="Times New Roman" w:cs="Times New Roman" w:eastAsia="Times New Roman"/>
                <w:b/>
                <w:color w:val="000000"/>
                <w:spacing w:val="0"/>
                <w:position w:val="0"/>
                <w:sz w:val="24"/>
                <w:shd w:fill="auto" w:val="clear"/>
              </w:rPr>
              <w:t xml:space="preserve">2026 ж.</w:t>
            </w: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both"/>
              <w:rPr>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6"/>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3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pPr>
              <w:widowControl w:val="false"/>
              <w:numPr>
                <w:ilvl w:val="0"/>
                <w:numId w:val="13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Атырауский нефтеперерабатывающий завод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41"/>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41"/>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41"/>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 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5"/>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 м</w:t>
            </w:r>
            <w:r>
              <w:rPr>
                <w:rFonts w:ascii="Times New Roman" w:hAnsi="Times New Roman" w:cs="Times New Roman" w:eastAsia="Times New Roman"/>
                <w:color w:val="auto"/>
                <w:spacing w:val="0"/>
                <w:position w:val="0"/>
                <w:sz w:val="24"/>
                <w:shd w:fill="auto" w:val="clear"/>
              </w:rPr>
              <w:t xml:space="preserve">ұнай өңдеу зауыты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49"/>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4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4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5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5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5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9"/>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5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pPr>
              <w:widowControl w:val="false"/>
              <w:suppressAutoHyphens w:val="true"/>
              <w:spacing w:before="0" w:after="12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numPr>
                <w:ilvl w:val="0"/>
                <w:numId w:val="169"/>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numPr>
                <w:ilvl w:val="0"/>
                <w:numId w:val="169"/>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numPr>
                <w:ilvl w:val="0"/>
                <w:numId w:val="169"/>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w:t>
            </w:r>
            <w:r>
              <w:rPr>
                <w:rFonts w:ascii="Times New Roman" w:hAnsi="Times New Roman" w:cs="Times New Roman" w:eastAsia="Times New Roman"/>
                <w:color w:val="000000"/>
                <w:spacing w:val="0"/>
                <w:position w:val="0"/>
                <w:sz w:val="24"/>
                <w:shd w:fill="auto" w:val="clear"/>
              </w:rPr>
              <w:t xml:space="preserve">завершения</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169"/>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прекращает действие в любом из следующих случаев:</w:t>
            </w:r>
          </w:p>
          <w:p>
            <w:pPr>
              <w:widowControl w:val="false"/>
              <w:numPr>
                <w:ilvl w:val="0"/>
                <w:numId w:val="169"/>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п.3.4 Договора;</w:t>
            </w:r>
          </w:p>
          <w:p>
            <w:pPr>
              <w:widowControl w:val="false"/>
              <w:numPr>
                <w:ilvl w:val="0"/>
                <w:numId w:val="169"/>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69"/>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69"/>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69"/>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numPr>
                <w:ilvl w:val="0"/>
                <w:numId w:val="169"/>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0" w:firstLine="0"/>
              <w:jc w:val="left"/>
              <w:rPr>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4"/>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74"/>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w:t>
            </w:r>
            <w:r>
              <w:rPr>
                <w:rFonts w:ascii="Times New Roman" w:hAnsi="Times New Roman" w:cs="Times New Roman" w:eastAsia="Times New Roman"/>
                <w:color w:val="202124"/>
                <w:spacing w:val="0"/>
                <w:position w:val="0"/>
                <w:sz w:val="24"/>
                <w:shd w:fill="auto" w:val="clear"/>
              </w:rPr>
              <w:t xml:space="preserve">Жеткізу жоспары шеңберіндегі айырбастау операциялары туралы есептерге (есептерге) </w:t>
            </w:r>
            <w:r>
              <w:rPr>
                <w:rFonts w:ascii="Times New Roman" w:hAnsi="Times New Roman" w:cs="Times New Roman" w:eastAsia="Times New Roman"/>
                <w:color w:val="auto"/>
                <w:spacing w:val="0"/>
                <w:position w:val="0"/>
                <w:sz w:val="24"/>
                <w:shd w:fill="auto" w:val="clear"/>
              </w:rPr>
              <w:t xml:space="preserve">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7"/>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79"/>
              </w:numPr>
              <w:tabs>
                <w:tab w:val="left" w:pos="0" w:leader="none"/>
              </w:tabs>
              <w:suppressAutoHyphens w:val="true"/>
              <w:spacing w:before="0" w:after="0" w:line="240"/>
              <w:ind w:right="0" w:left="568"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w:t>
            </w:r>
          </w:p>
          <w:p>
            <w:pPr>
              <w:widowControl w:val="false"/>
              <w:numPr>
                <w:ilvl w:val="0"/>
                <w:numId w:val="179"/>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tabs>
                <w:tab w:val="left" w:pos="708" w:leader="none"/>
                <w:tab w:val="left" w:pos="35"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3"/>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83"/>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6"/>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86"/>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86"/>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86"/>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91"/>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91"/>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r>
              <w:rPr>
                <w:rFonts w:ascii="Times New Roman" w:hAnsi="Times New Roman" w:cs="Times New Roman" w:eastAsia="Times New Roman"/>
                <w:color w:val="FF0000"/>
                <w:spacing w:val="0"/>
                <w:position w:val="0"/>
                <w:sz w:val="24"/>
                <w:shd w:fill="auto" w:val="clear"/>
              </w:rPr>
              <w:t xml:space="preserve">.</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5"/>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w:t>
            </w:r>
            <w:r>
              <w:rPr>
                <w:rFonts w:ascii="Times New Roman" w:hAnsi="Times New Roman" w:cs="Times New Roman" w:eastAsia="Times New Roman"/>
                <w:color w:val="000000"/>
                <w:spacing w:val="0"/>
                <w:position w:val="0"/>
                <w:sz w:val="24"/>
                <w:shd w:fill="auto" w:val="clear"/>
              </w:rPr>
              <w:t xml:space="preserve">в заявке на отгрузку</w:t>
            </w:r>
            <w:r>
              <w:rPr>
                <w:rFonts w:ascii="Times New Roman" w:hAnsi="Times New Roman" w:cs="Times New Roman" w:eastAsia="Times New Roman"/>
                <w:color w:val="auto"/>
                <w:spacing w:val="0"/>
                <w:position w:val="0"/>
                <w:sz w:val="24"/>
                <w:shd w:fill="auto" w:val="clear"/>
              </w:rPr>
              <w:t xml:space="preserve">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pPr>
              <w:widowControl w:val="false"/>
              <w:spacing w:before="0" w:after="0" w:line="240"/>
              <w:ind w:right="0" w:left="499" w:hanging="4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uppressAutoHyphens w:val="true"/>
              <w:spacing w:before="0" w:after="0" w:line="240"/>
              <w:ind w:right="0" w:left="424" w:hanging="4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283" w:hanging="32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4"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205"/>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205"/>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4.9. </w:t>
            </w: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360"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военизированную охрану и сопровождение Товара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предусмотренные законодательством Республики Казахстан,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организуют Грузоотправитель либо Продавец</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перечисляет 100 % предоплату за услуги охраны на банковский счёт Продавца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4 (четырёх) рабочих дней</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даты соответствующего</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60" w:hanging="467"/>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12"/>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212"/>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6"/>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218"/>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вагоноцистернах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21"/>
              </w:numPr>
              <w:tabs>
                <w:tab w:val="left" w:pos="708"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708" w:leader="none"/>
                <w:tab w:val="left" w:pos="460"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504" w:firstLine="6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spacing w:before="0" w:after="0" w:line="240"/>
              <w:ind w:right="0" w:left="504" w:firstLine="64"/>
              <w:jc w:val="both"/>
              <w:rPr>
                <w:rFonts w:ascii="Times New Roman" w:hAnsi="Times New Roman" w:cs="Times New Roman" w:eastAsia="Times New Roman"/>
                <w:color w:val="000000"/>
                <w:spacing w:val="0"/>
                <w:position w:val="0"/>
                <w:sz w:val="24"/>
                <w:shd w:fill="auto" w:val="clear"/>
              </w:rPr>
            </w:pPr>
          </w:p>
          <w:p>
            <w:pPr>
              <w:widowControl w:val="false"/>
              <w:numPr>
                <w:ilvl w:val="0"/>
                <w:numId w:val="225"/>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25"/>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тасымалдауды Сатып алушы растайтын </w:t>
            </w:r>
            <w:r>
              <w:rPr>
                <w:rFonts w:ascii="Times New Roman" w:hAnsi="Times New Roman" w:cs="Times New Roman" w:eastAsia="Times New Roman"/>
                <w:color w:val="auto"/>
                <w:spacing w:val="0"/>
                <w:position w:val="0"/>
                <w:sz w:val="24"/>
                <w:shd w:fill="auto" w:val="clear"/>
              </w:rPr>
              <w:t xml:space="preserve">құжаттардың қоса тіркелуімен вагон операторының қызметтерін тарту және жөнелтуге өтінімде тіркелетін темір жол тарифін (теміржол тарифтерін төлеу туралы жеделхат пен теміржол жүкқұжаттарын толтыру жөніндегі нұсқаулықты бере отырып) төлеу арқылы дербес ұйымдастыруы тиіс.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29"/>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29"/>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tabs>
                <w:tab w:val="left" w:pos="708" w:leader="none"/>
                <w:tab w:val="left" w:pos="203" w:leader="none"/>
                <w:tab w:val="left" w:pos="885" w:leader="none"/>
              </w:tabs>
              <w:suppressAutoHyphens w:val="true"/>
              <w:spacing w:before="0" w:after="0" w:line="240"/>
              <w:ind w:right="0" w:left="568"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32"/>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numPr>
                <w:ilvl w:val="0"/>
                <w:numId w:val="232"/>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вагон-цистерналар</w:t>
            </w:r>
            <w:r>
              <w:rPr>
                <w:rFonts w:ascii="Times New Roman" w:hAnsi="Times New Roman" w:cs="Times New Roman" w:eastAsia="Times New Roman"/>
                <w:color w:val="auto"/>
                <w:spacing w:val="0"/>
                <w:position w:val="0"/>
                <w:sz w:val="24"/>
                <w:shd w:fill="auto" w:val="clear"/>
              </w:rPr>
              <w:t xml:space="preserve">ға Бумен Жуу-буландыру бекетінде мұнай өнімдерін жүктеуге дайындау аясындағы барлық мәселелерді өз бетімен шешіп отырады.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Сатушы жіберілетін Тауардың сапасына жауап бермейді. Вагон-цистерналардың калибрлеу таңбасы және аралық бойынша калибрлеу кестесі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34"/>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36"/>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Егер </w:t>
            </w:r>
            <w:r>
              <w:rPr>
                <w:rFonts w:ascii="Times New Roman" w:hAnsi="Times New Roman" w:cs="Times New Roman" w:eastAsia="Times New Roman"/>
                <w:color w:val="000000"/>
                <w:spacing w:val="0"/>
                <w:position w:val="0"/>
                <w:sz w:val="24"/>
                <w:u w:val="single"/>
                <w:shd w:fill="auto" w:val="clear"/>
              </w:rPr>
              <w:t xml:space="preserve">Қазақстан Республикасының заңнамасында көзделген Әскерилендірілген күзет пен тауарды сүйемелдеуді жүк жөнелтуші не сатушы ұйымдастырса, Сатып алушы күзет қызметтері үшін алдын ала төлемді тиісті Қосымша келісім жасалған күннен бастап 4 (төрт) жұмыс күні ішінде Сатушының банктік шотына 100% аударады.</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widowControl w:val="false"/>
              <w:numPr>
                <w:ilvl w:val="0"/>
                <w:numId w:val="238"/>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1"/>
                <w:position w:val="0"/>
                <w:sz w:val="24"/>
                <w:u w:val="single"/>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numPr>
                <w:ilvl w:val="0"/>
                <w:numId w:val="240"/>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40"/>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3"/>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43"/>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suppressAutoHyphens w:val="true"/>
              <w:spacing w:before="0" w:after="0" w:line="240"/>
              <w:ind w:right="0" w:left="460" w:firstLine="0"/>
              <w:jc w:val="both"/>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46"/>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4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numPr>
                <w:ilvl w:val="0"/>
                <w:numId w:val="24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49"/>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4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numPr>
                <w:ilvl w:val="0"/>
                <w:numId w:val="24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3"/>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53"/>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9"/>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261"/>
              </w:numPr>
              <w:tabs>
                <w:tab w:val="left" w:pos="0" w:leader="none"/>
              </w:tabs>
              <w:suppressAutoHyphens w:val="true"/>
              <w:spacing w:before="6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numPr>
                <w:ilvl w:val="0"/>
                <w:numId w:val="261"/>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0000FF"/>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numPr>
                <w:ilvl w:val="0"/>
                <w:numId w:val="261"/>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0" w:firstLine="0"/>
              <w:jc w:val="left"/>
              <w:rPr>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66"/>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66"/>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 </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71"/>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73"/>
              </w:numPr>
              <w:tabs>
                <w:tab w:val="left" w:pos="0" w:leader="none"/>
              </w:tabs>
              <w:suppressAutoHyphens w:val="true"/>
              <w:spacing w:before="60" w:after="0" w:line="240"/>
              <w:ind w:right="0" w:left="426"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тиісті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numPr>
                <w:ilvl w:val="0"/>
                <w:numId w:val="273"/>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numPr>
                <w:ilvl w:val="0"/>
                <w:numId w:val="273"/>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80"/>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8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8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8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4.6.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numPr>
                <w:ilvl w:val="0"/>
                <w:numId w:val="28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28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numPr>
                <w:ilvl w:val="0"/>
                <w:numId w:val="28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numPr>
                <w:ilvl w:val="0"/>
                <w:numId w:val="28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91"/>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29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9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9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4.6.-тармағының ережелеріне сәйкес өтеді.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29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30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0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numPr>
                <w:ilvl w:val="0"/>
                <w:numId w:val="309"/>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5"/>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numPr>
                <w:ilvl w:val="0"/>
                <w:numId w:val="315"/>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7"/>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319"/>
              </w:numPr>
              <w:tabs>
                <w:tab w:val="left" w:pos="0" w:leader="none"/>
              </w:tabs>
              <w:suppressAutoHyphens w:val="true"/>
              <w:spacing w:before="0" w:after="160" w:line="240"/>
              <w:ind w:right="97"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22"/>
              </w:numPr>
              <w:tabs>
                <w:tab w:val="left" w:pos="0" w:leader="none"/>
              </w:tabs>
              <w:suppressAutoHyphens w:val="true"/>
              <w:spacing w:before="0" w:after="16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numPr>
                <w:ilvl w:val="0"/>
                <w:numId w:val="322"/>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или)  Покупателя</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вопросам, связанным с Продавцом</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w:t>
            </w:r>
            <w:r>
              <w:rPr>
                <w:rFonts w:ascii="Times New Roman" w:hAnsi="Times New Roman" w:cs="Times New Roman" w:eastAsia="Times New Roman"/>
                <w:i/>
                <w:color w:val="auto"/>
                <w:spacing w:val="0"/>
                <w:position w:val="0"/>
                <w:sz w:val="24"/>
                <w:shd w:fill="auto" w:val="clear"/>
              </w:rPr>
              <w:t xml:space="preserve">Компанией] и/или [Контрагентом], </w:t>
            </w:r>
            <w:r>
              <w:rPr>
                <w:rFonts w:ascii="Times New Roman" w:hAnsi="Times New Roman" w:cs="Times New Roman" w:eastAsia="Times New Roman"/>
                <w:color w:val="auto"/>
                <w:spacing w:val="0"/>
                <w:position w:val="0"/>
                <w:sz w:val="24"/>
                <w:shd w:fill="auto" w:val="clear"/>
              </w:rPr>
              <w:t xml:space="preserve">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27"/>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numPr>
                <w:ilvl w:val="0"/>
                <w:numId w:val="327"/>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30"/>
              </w:numPr>
              <w:tabs>
                <w:tab w:val="left" w:pos="708" w:leader="none"/>
                <w:tab w:val="left" w:pos="210" w:leader="none"/>
              </w:tabs>
              <w:suppressAutoHyphens w:val="true"/>
              <w:spacing w:before="0" w:after="0" w:line="240"/>
              <w:ind w:right="0" w:left="494" w:hanging="425"/>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p>
          <w:p>
            <w:pPr>
              <w:widowControl w:val="false"/>
              <w:numPr>
                <w:ilvl w:val="0"/>
                <w:numId w:val="332"/>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32"/>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4"/>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numPr>
                <w:ilvl w:val="0"/>
                <w:numId w:val="335"/>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37"/>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38"/>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w:t>
            </w:r>
            <w:r>
              <w:rPr>
                <w:rFonts w:ascii="Times New Roman" w:hAnsi="Times New Roman" w:cs="Times New Roman" w:eastAsia="Times New Roman"/>
                <w:i/>
                <w:color w:val="auto"/>
                <w:spacing w:val="0"/>
                <w:position w:val="0"/>
                <w:sz w:val="24"/>
                <w:shd w:fill="auto" w:val="clear"/>
              </w:rPr>
              <w:t xml:space="preserve">[Компанияның]</w:t>
            </w:r>
            <w:r>
              <w:rPr>
                <w:rFonts w:ascii="Times New Roman" w:hAnsi="Times New Roman" w:cs="Times New Roman" w:eastAsia="Times New Roman"/>
                <w:color w:val="auto"/>
                <w:spacing w:val="0"/>
                <w:position w:val="0"/>
                <w:sz w:val="24"/>
                <w:shd w:fill="auto" w:val="clear"/>
              </w:rPr>
              <w:t xml:space="preserve"> және/немесе </w:t>
            </w:r>
            <w:r>
              <w:rPr>
                <w:rFonts w:ascii="Times New Roman" w:hAnsi="Times New Roman" w:cs="Times New Roman" w:eastAsia="Times New Roman"/>
                <w:i/>
                <w:color w:val="auto"/>
                <w:spacing w:val="0"/>
                <w:position w:val="0"/>
                <w:sz w:val="24"/>
                <w:shd w:fill="auto" w:val="clear"/>
              </w:rPr>
              <w:t xml:space="preserve">[Контрагенттің]</w:t>
            </w:r>
            <w:r>
              <w:rPr>
                <w:rFonts w:ascii="Times New Roman" w:hAnsi="Times New Roman" w:cs="Times New Roman" w:eastAsia="Times New Roman"/>
                <w:color w:val="auto"/>
                <w:spacing w:val="0"/>
                <w:position w:val="0"/>
                <w:sz w:val="24"/>
                <w:shd w:fill="auto" w:val="clear"/>
              </w:rPr>
              <w:t xml:space="preserve">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4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6" w:hanging="6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5"/>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55"/>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numPr>
                <w:ilvl w:val="0"/>
                <w:numId w:val="358"/>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2"/>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62"/>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numPr>
                <w:ilvl w:val="0"/>
                <w:numId w:val="362"/>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numPr>
                <w:ilvl w:val="0"/>
                <w:numId w:val="362"/>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2"/>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66"/>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68"/>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68"/>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tabs>
                <w:tab w:val="left" w:pos="708" w:leader="none"/>
                <w:tab w:val="left" w:pos="802" w:leader="none"/>
              </w:tabs>
              <w:suppressAutoHyphens w:val="true"/>
              <w:spacing w:before="0" w:after="0" w:line="240"/>
              <w:ind w:right="0" w:left="598" w:hanging="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3"/>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numPr>
                <w:ilvl w:val="0"/>
                <w:numId w:val="373"/>
              </w:numPr>
              <w:tabs>
                <w:tab w:val="left" w:pos="0" w:leader="none"/>
              </w:tabs>
              <w:suppressAutoHyphens w:val="true"/>
              <w:spacing w:before="0" w:after="0" w:line="240"/>
              <w:ind w:right="0" w:left="567" w:hanging="35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7"/>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7"/>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0"/>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0"/>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0"/>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numPr>
                <w:ilvl w:val="0"/>
                <w:numId w:val="380"/>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6"/>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numPr>
                <w:ilvl w:val="0"/>
                <w:numId w:val="386"/>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6"/>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1"/>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1"/>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5"/>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9"/>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100" w:after="10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6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9"/>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141414"/>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141414"/>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4"/>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tabs>
                <w:tab w:val="left" w:pos="708" w:leader="none"/>
                <w:tab w:val="left" w:pos="74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141414"/>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141414"/>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4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p>
          <w:tbl>
            <w:tblPr>
              <w:tblInd w:w="132" w:type="dxa"/>
            </w:tblPr>
            <w:tblGrid>
              <w:gridCol w:w="2552"/>
              <w:gridCol w:w="2113"/>
            </w:tblGrid>
            <w:tr>
              <w:trPr>
                <w:trHeight w:val="1" w:hRule="atLeast"/>
                <w:jc w:val="left"/>
              </w:trPr>
              <w:tc>
                <w:tcPr>
                  <w:tcW w:w="255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49"/>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616"/>
        <w:gridCol w:w="5132"/>
      </w:tblGrid>
      <w:tr>
        <w:trPr>
          <w:trHeight w:val="2117" w:hRule="auto"/>
          <w:jc w:val="left"/>
        </w:trPr>
        <w:tc>
          <w:tcPr>
            <w:tcW w:w="5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68"/>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70"/>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80"/>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480"/>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480"/>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480"/>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487"/>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94"/>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Тендык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19"/>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num w:numId="7">
    <w:abstractNumId w:val="486"/>
  </w:num>
  <w:num w:numId="71">
    <w:abstractNumId w:val="480"/>
  </w:num>
  <w:num w:numId="82">
    <w:abstractNumId w:val="474"/>
  </w:num>
  <w:num w:numId="94">
    <w:abstractNumId w:val="468"/>
  </w:num>
  <w:num w:numId="104">
    <w:abstractNumId w:val="462"/>
  </w:num>
  <w:num w:numId="136">
    <w:abstractNumId w:val="456"/>
  </w:num>
  <w:num w:numId="139">
    <w:abstractNumId w:val="450"/>
  </w:num>
  <w:num w:numId="141">
    <w:abstractNumId w:val="444"/>
  </w:num>
  <w:num w:numId="145">
    <w:abstractNumId w:val="438"/>
  </w:num>
  <w:num w:numId="149">
    <w:abstractNumId w:val="432"/>
  </w:num>
  <w:num w:numId="152">
    <w:abstractNumId w:val="426"/>
  </w:num>
  <w:num w:numId="155">
    <w:abstractNumId w:val="420"/>
  </w:num>
  <w:num w:numId="157">
    <w:abstractNumId w:val="414"/>
  </w:num>
  <w:num w:numId="159">
    <w:abstractNumId w:val="408"/>
  </w:num>
  <w:num w:numId="162">
    <w:abstractNumId w:val="402"/>
  </w:num>
  <w:num w:numId="169">
    <w:abstractNumId w:val="396"/>
  </w:num>
  <w:num w:numId="174">
    <w:abstractNumId w:val="390"/>
  </w:num>
  <w:num w:numId="177">
    <w:abstractNumId w:val="384"/>
  </w:num>
  <w:num w:numId="179">
    <w:abstractNumId w:val="378"/>
  </w:num>
  <w:num w:numId="183">
    <w:abstractNumId w:val="372"/>
  </w:num>
  <w:num w:numId="186">
    <w:abstractNumId w:val="366"/>
  </w:num>
  <w:num w:numId="191">
    <w:abstractNumId w:val="360"/>
  </w:num>
  <w:num w:numId="195">
    <w:abstractNumId w:val="354"/>
  </w:num>
  <w:num w:numId="205">
    <w:abstractNumId w:val="348"/>
  </w:num>
  <w:num w:numId="212">
    <w:abstractNumId w:val="342"/>
  </w:num>
  <w:num w:numId="216">
    <w:abstractNumId w:val="336"/>
  </w:num>
  <w:num w:numId="218">
    <w:abstractNumId w:val="330"/>
  </w:num>
  <w:num w:numId="221">
    <w:abstractNumId w:val="324"/>
  </w:num>
  <w:num w:numId="223">
    <w:abstractNumId w:val="318"/>
  </w:num>
  <w:num w:numId="225">
    <w:abstractNumId w:val="312"/>
  </w:num>
  <w:num w:numId="227">
    <w:abstractNumId w:val="306"/>
  </w:num>
  <w:num w:numId="229">
    <w:abstractNumId w:val="300"/>
  </w:num>
  <w:num w:numId="232">
    <w:abstractNumId w:val="294"/>
  </w:num>
  <w:num w:numId="234">
    <w:abstractNumId w:val="288"/>
  </w:num>
  <w:num w:numId="236">
    <w:abstractNumId w:val="282"/>
  </w:num>
  <w:num w:numId="238">
    <w:abstractNumId w:val="276"/>
  </w:num>
  <w:num w:numId="240">
    <w:abstractNumId w:val="270"/>
  </w:num>
  <w:num w:numId="243">
    <w:abstractNumId w:val="264"/>
  </w:num>
  <w:num w:numId="246">
    <w:abstractNumId w:val="258"/>
  </w:num>
  <w:num w:numId="249">
    <w:abstractNumId w:val="252"/>
  </w:num>
  <w:num w:numId="253">
    <w:abstractNumId w:val="246"/>
  </w:num>
  <w:num w:numId="259">
    <w:abstractNumId w:val="240"/>
  </w:num>
  <w:num w:numId="261">
    <w:abstractNumId w:val="234"/>
  </w:num>
  <w:num w:numId="266">
    <w:abstractNumId w:val="228"/>
  </w:num>
  <w:num w:numId="271">
    <w:abstractNumId w:val="222"/>
  </w:num>
  <w:num w:numId="273">
    <w:abstractNumId w:val="216"/>
  </w:num>
  <w:num w:numId="280">
    <w:abstractNumId w:val="210"/>
  </w:num>
  <w:num w:numId="283">
    <w:abstractNumId w:val="204"/>
  </w:num>
  <w:num w:numId="285">
    <w:abstractNumId w:val="198"/>
  </w:num>
  <w:num w:numId="287">
    <w:abstractNumId w:val="192"/>
  </w:num>
  <w:num w:numId="289">
    <w:abstractNumId w:val="186"/>
  </w:num>
  <w:num w:numId="291">
    <w:abstractNumId w:val="180"/>
  </w:num>
  <w:num w:numId="294">
    <w:abstractNumId w:val="174"/>
  </w:num>
  <w:num w:numId="296">
    <w:abstractNumId w:val="168"/>
  </w:num>
  <w:num w:numId="298">
    <w:abstractNumId w:val="162"/>
  </w:num>
  <w:num w:numId="300">
    <w:abstractNumId w:val="156"/>
  </w:num>
  <w:num w:numId="302">
    <w:abstractNumId w:val="150"/>
  </w:num>
  <w:num w:numId="305">
    <w:abstractNumId w:val="144"/>
  </w:num>
  <w:num w:numId="307">
    <w:abstractNumId w:val="138"/>
  </w:num>
  <w:num w:numId="309">
    <w:abstractNumId w:val="132"/>
  </w:num>
  <w:num w:numId="312">
    <w:abstractNumId w:val="126"/>
  </w:num>
  <w:num w:numId="315">
    <w:abstractNumId w:val="120"/>
  </w:num>
  <w:num w:numId="317">
    <w:abstractNumId w:val="114"/>
  </w:num>
  <w:num w:numId="319">
    <w:abstractNumId w:val="108"/>
  </w:num>
  <w:num w:numId="322">
    <w:abstractNumId w:val="102"/>
  </w:num>
  <w:num w:numId="327">
    <w:abstractNumId w:val="96"/>
  </w:num>
  <w:num w:numId="330">
    <w:abstractNumId w:val="90"/>
  </w:num>
  <w:num w:numId="332">
    <w:abstractNumId w:val="84"/>
  </w:num>
  <w:num w:numId="334">
    <w:abstractNumId w:val="78"/>
  </w:num>
  <w:num w:numId="335">
    <w:abstractNumId w:val="115"/>
  </w:num>
  <w:num w:numId="337">
    <w:abstractNumId w:val="109"/>
  </w:num>
  <w:num w:numId="338">
    <w:abstractNumId w:val="72"/>
  </w:num>
  <w:num w:numId="344">
    <w:abstractNumId w:val="66"/>
  </w:num>
  <w:num w:numId="350">
    <w:abstractNumId w:val="60"/>
  </w:num>
  <w:num w:numId="355">
    <w:abstractNumId w:val="54"/>
  </w:num>
  <w:num w:numId="358">
    <w:abstractNumId w:val="48"/>
  </w:num>
  <w:num w:numId="362">
    <w:abstractNumId w:val="42"/>
  </w:num>
  <w:num w:numId="366">
    <w:abstractNumId w:val="103"/>
  </w:num>
  <w:num w:numId="368">
    <w:abstractNumId w:val="97"/>
  </w:num>
  <w:num w:numId="371">
    <w:abstractNumId w:val="36"/>
  </w:num>
  <w:num w:numId="373">
    <w:abstractNumId w:val="30"/>
  </w:num>
  <w:num w:numId="377">
    <w:abstractNumId w:val="24"/>
  </w:num>
  <w:num w:numId="380">
    <w:abstractNumId w:val="91"/>
  </w:num>
  <w:num w:numId="384">
    <w:abstractNumId w:val="85"/>
  </w:num>
  <w:num w:numId="386">
    <w:abstractNumId w:val="79"/>
  </w:num>
  <w:num w:numId="389">
    <w:abstractNumId w:val="73"/>
  </w:num>
  <w:num w:numId="391">
    <w:abstractNumId w:val="67"/>
  </w:num>
  <w:num w:numId="393">
    <w:abstractNumId w:val="61"/>
  </w:num>
  <w:num w:numId="395">
    <w:abstractNumId w:val="55"/>
  </w:num>
  <w:num w:numId="397">
    <w:abstractNumId w:val="49"/>
  </w:num>
  <w:num w:numId="399">
    <w:abstractNumId w:val="43"/>
  </w:num>
  <w:num w:numId="404">
    <w:abstractNumId w:val="37"/>
  </w:num>
  <w:num w:numId="409">
    <w:abstractNumId w:val="18"/>
  </w:num>
  <w:num w:numId="424">
    <w:abstractNumId w:val="12"/>
  </w:num>
  <w:num w:numId="440">
    <w:abstractNumId w:val="6"/>
  </w:num>
  <w:num w:numId="449">
    <w:abstractNumId w:val="0"/>
  </w:num>
  <w:num w:numId="468">
    <w:abstractNumId w:val="31"/>
  </w:num>
  <w:num w:numId="470">
    <w:abstractNumId w:val="25"/>
  </w:num>
  <w:num w:numId="480">
    <w:abstractNumId w:val="19"/>
  </w:num>
  <w:num w:numId="487">
    <w:abstractNumId w:val="13"/>
  </w:num>
  <w:num w:numId="494">
    <w:abstractNumId w:val="7"/>
  </w:num>
  <w:num w:numId="519">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http://www.ets.kz/" Id="docRId0" Type="http://schemas.openxmlformats.org/officeDocument/2006/relationships/hyperlink" /><Relationship TargetMode="External" Target="mailto:complaint.hotline@petrokazakhstan.com" Id="docRId2" Type="http://schemas.openxmlformats.org/officeDocument/2006/relationships/hyperlink" /><Relationship TargetMode="External" Target="mailto:azk_almaz@list.ru" Id="docRId4" Type="http://schemas.openxmlformats.org/officeDocument/2006/relationships/hyperlink" /><Relationship TargetMode="External" Target="mailto:azk_almaz@list.ru" Id="docRId6" Type="http://schemas.openxmlformats.org/officeDocument/2006/relationships/hyperlink" /><Relationship Target="numbering.xml" Id="docRId8" Type="http://schemas.openxmlformats.org/officeDocument/2006/relationships/numbering" /><Relationship TargetMode="External" Target="http://www.ets.kz/" Id="docRId1" Type="http://schemas.openxmlformats.org/officeDocument/2006/relationships/hyperlink" /><Relationship TargetMode="External" Target="mailto:azk_almaz@list.ru" Id="docRId5" Type="http://schemas.openxmlformats.org/officeDocument/2006/relationships/hyperlink" /><Relationship Target="styles.xml" Id="docRId9" Type="http://schemas.openxmlformats.org/officeDocument/2006/relationships/styles" /></Relationships>
</file>