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"12" 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UWDFCGK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Қарағанды станциясының FCA жеткізу шарттары (станция коды 673905)</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Спецификацияда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 ережелеріне,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UWDFCGK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жеткізу шарттары FCA ст. Қарағанды (станция коды 673905);</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 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Қарағанды станциясы (станция коды 673905);</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righ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жеткізілім шартына </w:t>
      </w:r>
      <w:r>
        <w:rPr>
          <w:rFonts w:ascii="Times New Roman" w:hAnsi="Times New Roman" w:cs="Times New Roman" w:eastAsia="Times New Roman"/>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106"/>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106"/>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106"/>
        </w:numPr>
        <w:tabs>
          <w:tab w:val="left" w:pos="397" w:leader="none"/>
        </w:tabs>
        <w:suppressAutoHyphens w:val="true"/>
        <w:spacing w:before="0" w:after="12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4.4 </w:t>
      </w: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106"/>
        </w:numPr>
        <w:tabs>
          <w:tab w:val="left" w:pos="397" w:leader="none"/>
        </w:tabs>
        <w:suppressAutoHyphens w:val="true"/>
        <w:spacing w:before="0" w:after="120" w:line="240"/>
        <w:ind w:right="0" w:left="284" w:firstLine="142"/>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106"/>
        </w:numPr>
        <w:tabs>
          <w:tab w:val="left" w:pos="397" w:leader="none"/>
        </w:tabs>
        <w:suppressAutoHyphens w:val="true"/>
        <w:spacing w:before="0" w:after="120" w:line="240"/>
        <w:ind w:right="0" w:left="284" w:firstLine="142"/>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11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1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1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1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1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11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2"/>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2010 жыл. ICC басылымы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715. </w:t>
            </w:r>
            <w:r>
              <w:rPr>
                <w:rFonts w:ascii="Times New Roman" w:hAnsi="Times New Roman" w:cs="Times New Roman" w:eastAsia="Times New Roman"/>
                <w:color w:val="auto"/>
                <w:spacing w:val="0"/>
                <w:position w:val="0"/>
                <w:sz w:val="24"/>
                <w:shd w:fill="auto" w:val="clear"/>
              </w:rPr>
              <w:t xml:space="preserve">Ұлттық және халықаралық саудада сауда терминдерін қолдануға арналған ІСК ережелері.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7"/>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7"/>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7"/>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7"/>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200"/>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200"/>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7"/>
        </w:numPr>
        <w:tabs>
          <w:tab w:val="left" w:pos="0" w:leader="none"/>
        </w:tabs>
        <w:suppressAutoHyphens w:val="true"/>
        <w:spacing w:before="0" w:after="0" w:line="240"/>
        <w:ind w:right="0" w:left="924"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7"/>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4"/>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4"/>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4"/>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4"/>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4"/>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4"/>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4"/>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3"/>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6"/>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6"/>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4">
    <w:abstractNumId w:val="288"/>
  </w:num>
  <w:num w:numId="6">
    <w:abstractNumId w:val="282"/>
  </w:num>
  <w:num w:numId="12">
    <w:abstractNumId w:val="276"/>
  </w:num>
  <w:num w:numId="14">
    <w:abstractNumId w:val="270"/>
  </w: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6">
    <w:abstractNumId w:val="210"/>
  </w:num>
  <w:num w:numId="40">
    <w:abstractNumId w:val="204"/>
  </w:num>
  <w:num w:numId="44">
    <w:abstractNumId w:val="198"/>
  </w:num>
  <w:num w:numId="48">
    <w:abstractNumId w:val="192"/>
  </w:num>
  <w:num w:numId="52">
    <w:abstractNumId w:val="186"/>
  </w:num>
  <w:num w:numId="56">
    <w:abstractNumId w:val="180"/>
  </w:num>
  <w:num w:numId="60">
    <w:abstractNumId w:val="174"/>
  </w:num>
  <w:num w:numId="64">
    <w:abstractNumId w:val="168"/>
  </w:num>
  <w:num w:numId="68">
    <w:abstractNumId w:val="162"/>
  </w:num>
  <w:num w:numId="73">
    <w:abstractNumId w:val="156"/>
  </w:num>
  <w:num w:numId="77">
    <w:abstractNumId w:val="150"/>
  </w:num>
  <w:num w:numId="81">
    <w:abstractNumId w:val="144"/>
  </w:num>
  <w:num w:numId="84">
    <w:abstractNumId w:val="138"/>
  </w:num>
  <w:num w:numId="90">
    <w:abstractNumId w:val="132"/>
  </w:num>
  <w:num w:numId="92">
    <w:abstractNumId w:val="126"/>
  </w:num>
  <w:num w:numId="96">
    <w:abstractNumId w:val="120"/>
  </w:num>
  <w:num w:numId="99">
    <w:abstractNumId w:val="114"/>
  </w:num>
  <w:num w:numId="102">
    <w:abstractNumId w:val="108"/>
  </w:num>
  <w:num w:numId="106">
    <w:abstractNumId w:val="102"/>
  </w:num>
  <w:num w:numId="110">
    <w:abstractNumId w:val="96"/>
  </w:num>
  <w:num w:numId="112">
    <w:abstractNumId w:val="90"/>
  </w:num>
  <w:num w:numId="116">
    <w:abstractNumId w:val="84"/>
  </w:num>
  <w:num w:numId="119">
    <w:abstractNumId w:val="78"/>
  </w:num>
  <w:num w:numId="122">
    <w:abstractNumId w:val="72"/>
  </w:num>
  <w:num w:numId="137">
    <w:abstractNumId w:val="66"/>
  </w:num>
  <w:num w:numId="157">
    <w:abstractNumId w:val="60"/>
  </w:num>
  <w:num w:numId="191">
    <w:abstractNumId w:val="54"/>
  </w:num>
  <w:num w:numId="194">
    <w:abstractNumId w:val="48"/>
  </w:num>
  <w:num w:numId="197">
    <w:abstractNumId w:val="42"/>
  </w:num>
  <w:num w:numId="200">
    <w:abstractNumId w:val="36"/>
  </w:num>
  <w:num w:numId="207">
    <w:abstractNumId w:val="30"/>
  </w:num>
  <w:num w:numId="214">
    <w:abstractNumId w:val="24"/>
  </w:num>
  <w:num w:numId="220">
    <w:abstractNumId w:val="18"/>
  </w:num>
  <w:num w:numId="223">
    <w:abstractNumId w:val="12"/>
  </w:num>
  <w:num w:numId="226">
    <w:abstractNumId w:val="6"/>
  </w:num>
  <w:num w:numId="2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