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ПНХЗ</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ЖШС АИ-92 бензині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Павлодар-порт</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станциясы, теміржол к</w:t>
      </w:r>
      <w:r>
        <w:rPr>
          <w:rFonts w:ascii="Times New Roman" w:hAnsi="Times New Roman" w:cs="Times New Roman" w:eastAsia="Times New Roman"/>
          <w:b/>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АИ-92 бензиніне арнал</w:t>
            </w:r>
            <w:r>
              <w:rPr>
                <w:rFonts w:ascii="Times New Roman" w:hAnsi="Times New Roman" w:cs="Times New Roman" w:eastAsia="Times New Roman"/>
                <w:color w:val="000000"/>
                <w:spacing w:val="0"/>
                <w:position w:val="0"/>
                <w:sz w:val="24"/>
                <w:shd w:fill="auto" w:val="clear"/>
              </w:rPr>
              <w:t xml:space="preserve">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АИ-92 бензиніні</w:t>
            </w:r>
            <w:r>
              <w:rPr>
                <w:rFonts w:ascii="Times New Roman" w:hAnsi="Times New Roman" w:cs="Times New Roman" w:eastAsia="Times New Roman"/>
                <w:color w:val="000000"/>
                <w:spacing w:val="0"/>
                <w:position w:val="0"/>
                <w:sz w:val="24"/>
                <w:shd w:fill="auto" w:val="clear"/>
              </w:rPr>
              <w:t xml:space="preserve">ң сапа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(зерттеу </w:t>
                  </w:r>
                  <w:r>
                    <w:rPr>
                      <w:rFonts w:ascii="Times New Roman" w:hAnsi="Times New Roman" w:cs="Times New Roman" w:eastAsia="Times New Roman"/>
                      <w:color w:val="000000"/>
                      <w:spacing w:val="0"/>
                      <w:position w:val="0"/>
                      <w:sz w:val="24"/>
                      <w:shd w:fill="auto" w:val="clear"/>
                    </w:rPr>
                    <w:t xml:space="preserve">әдісі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93,7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(моторлы</w:t>
                  </w:r>
                  <w:r>
                    <w:rPr>
                      <w:rFonts w:ascii="Times New Roman" w:hAnsi="Times New Roman" w:cs="Times New Roman" w:eastAsia="Times New Roman"/>
                      <w:color w:val="000000"/>
                      <w:spacing w:val="0"/>
                      <w:position w:val="0"/>
                      <w:sz w:val="24"/>
                      <w:shd w:fill="auto" w:val="clear"/>
                    </w:rPr>
                    <w:t xml:space="preserve">қ әдіс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84,9</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Бензолды</w:t>
                  </w:r>
                  <w:r>
                    <w:rPr>
                      <w:rFonts w:ascii="Times New Roman" w:hAnsi="Times New Roman" w:cs="Times New Roman" w:eastAsia="Times New Roman"/>
                      <w:color w:val="000000"/>
                      <w:spacing w:val="0"/>
                      <w:position w:val="0"/>
                      <w:sz w:val="24"/>
                      <w:shd w:fill="auto" w:val="clear"/>
                    </w:rPr>
                    <w:t xml:space="preserve">ң көлемдік үлесі,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0,9</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Хош иісті к</w:t>
                  </w:r>
                  <w:r>
                    <w:rPr>
                      <w:rFonts w:ascii="Times New Roman" w:hAnsi="Times New Roman" w:cs="Times New Roman" w:eastAsia="Times New Roman"/>
                      <w:color w:val="000000"/>
                      <w:spacing w:val="0"/>
                      <w:position w:val="0"/>
                      <w:sz w:val="24"/>
                      <w:shd w:fill="auto" w:val="clear"/>
                    </w:rPr>
                    <w:t xml:space="preserve">өмірсутектердің көлемдік үлесі,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31,9</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Олефинді к</w:t>
                  </w:r>
                  <w:r>
                    <w:rPr>
                      <w:rFonts w:ascii="Times New Roman" w:hAnsi="Times New Roman" w:cs="Times New Roman" w:eastAsia="Times New Roman"/>
                      <w:color w:val="000000"/>
                      <w:spacing w:val="0"/>
                      <w:position w:val="0"/>
                      <w:sz w:val="24"/>
                      <w:shd w:fill="auto" w:val="clear"/>
                    </w:rPr>
                    <w:t xml:space="preserve">өмірсутектердің көлемдік үлесі,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7,5</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үкірттің массалық үлесі, мг/кг</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39</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Қалған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белгіленген нормалар шегінде ГОСТ 32513-2013 для поставляемого бензина АИ-92</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қосылу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сатып алушыдан ақшалай қаражаттың түскені туралы хабарлаған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сатып алушыға тауар жөнелтілгенін, барлық міндеттемелердің орындалғанын, тауардың төленгенін және биржалық қамтамасыз етуді бұғаттан босату туралы растайтын құжаттармен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(БҚ) бұғаттан босатқан күні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D3DE1SP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АИ-92 бензині; </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болжамды м</w:t>
      </w:r>
      <w:r>
        <w:rPr>
          <w:rFonts w:ascii="Times New Roman" w:hAnsi="Times New Roman" w:cs="Times New Roman" w:eastAsia="Times New Roman"/>
          <w:color w:val="000000"/>
          <w:spacing w:val="0"/>
          <w:position w:val="0"/>
          <w:sz w:val="24"/>
          <w:shd w:fill="auto" w:val="clear"/>
        </w:rPr>
        <w:t xml:space="preserve">әміле (өтінім) сомасының 15 % (он бес пайызы);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бір сауда лотына +/- 15 (он бес) 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Тауармен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 нысанына сәйкес ресімделуге тиіс. Осы шарт нысаныит базовые условия поставки тауардың, которые могут быть при необходимости дополнены сторонами в итоговом  договоре, подписываемом сторонами.</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Настоящая Ерекшелік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pPr>
        <w:widowControl w:val="false"/>
        <w:numPr>
          <w:ilvl w:val="0"/>
          <w:numId w:val="7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Клирингтік орталы</w:t>
            </w:r>
            <w:r>
              <w:rPr>
                <w:rFonts w:ascii="Times New Roman" w:hAnsi="Times New Roman" w:cs="Times New Roman" w:eastAsia="Times New Roman"/>
                <w:color w:val="000000"/>
                <w:spacing w:val="0"/>
                <w:position w:val="0"/>
                <w:sz w:val="24"/>
                <w:shd w:fill="auto" w:val="clear"/>
              </w:rPr>
              <w:t xml:space="preserve">қтың үлгілік шартына</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не позднее 3 рабочих дней с даты заключения биржевой сделки направляют в Клирингтік орталы</w:t>
      </w:r>
      <w:r>
        <w:rPr>
          <w:rFonts w:ascii="Times New Roman" w:hAnsi="Times New Roman" w:cs="Times New Roman" w:eastAsia="Times New Roman"/>
          <w:color w:val="000000"/>
          <w:spacing w:val="0"/>
          <w:position w:val="0"/>
          <w:sz w:val="24"/>
          <w:shd w:fill="auto" w:val="clear"/>
        </w:rPr>
        <w:t xml:space="preserve">қ подписанное заявление о присоединении к типовому договору о клиринговом обслуживании расчетов по биржевым сделкам;  </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жасасады;</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жолдайды.</w:t>
      </w:r>
    </w:p>
    <w:p>
      <w:pPr>
        <w:widowControl w:val="false"/>
        <w:numPr>
          <w:ilvl w:val="0"/>
          <w:numId w:val="8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тауардың Покупателю, об исполнении всех обязательств, о разблокировке биржевого обеспечения</w:t>
            </w:r>
          </w:p>
        </w:tc>
      </w:tr>
    </w:tbl>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жеткізу шартына </w:t>
      </w:r>
      <w:r>
        <w:rPr>
          <w:rFonts w:ascii="Times New Roman" w:hAnsi="Times New Roman" w:cs="Times New Roman" w:eastAsia="Times New Roman"/>
          <w:color w:val="auto"/>
          <w:spacing w:val="0"/>
          <w:position w:val="0"/>
          <w:sz w:val="24"/>
          <w:shd w:fill="auto" w:val="clear"/>
        </w:rPr>
        <w:t xml:space="preserve">қол қойылған күннен кейін 4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не позднее 1 рабочего дня после дня получения 100% от суммы сделки на основании подписанного с двух сторон договора поставки перечисляет сумму за тауар на счет продавца;</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Клирингтік орталы</w:t>
      </w:r>
      <w:r>
        <w:rPr>
          <w:rFonts w:ascii="Times New Roman" w:hAnsi="Times New Roman" w:cs="Times New Roman" w:eastAsia="Times New Roman"/>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Ерекшеліктің талаптарына сәйкес жөнелтеді;</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 жеткізгеннен/ж</w:t>
      </w:r>
      <w:r>
        <w:rPr>
          <w:rFonts w:ascii="Times New Roman" w:hAnsi="Times New Roman" w:cs="Times New Roman" w:eastAsia="Times New Roman"/>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разблокировки биржевого обеспечения по биржевой сделке;</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жеткізуді/ж</w:t>
      </w:r>
      <w:r>
        <w:rPr>
          <w:rFonts w:ascii="Times New Roman" w:hAnsi="Times New Roman" w:cs="Times New Roman" w:eastAsia="Times New Roman"/>
          <w:color w:val="auto"/>
          <w:spacing w:val="0"/>
          <w:position w:val="0"/>
          <w:sz w:val="24"/>
          <w:shd w:fill="auto" w:val="clear"/>
        </w:rPr>
        <w:t xml:space="preserve">өнелтуді растайтын барлық құжаттарды қоса бере отырып:</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 тарапынан </w:t>
      </w:r>
      <w:r>
        <w:rPr>
          <w:rFonts w:ascii="Times New Roman" w:hAnsi="Times New Roman" w:cs="Times New Roman" w:eastAsia="Times New Roman"/>
          <w:color w:val="auto"/>
          <w:spacing w:val="0"/>
          <w:position w:val="0"/>
          <w:sz w:val="24"/>
          <w:shd w:fill="auto" w:val="clear"/>
        </w:rPr>
        <w:t xml:space="preserve">қол қойылған тауарға ілеспе жүкқұжат).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9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после поставки/отгрузки тауарды</w:t>
      </w:r>
      <w:r>
        <w:rPr>
          <w:rFonts w:ascii="Times New Roman" w:hAnsi="Times New Roman" w:cs="Times New Roman" w:eastAsia="Times New Roman"/>
          <w:color w:val="auto"/>
          <w:spacing w:val="0"/>
          <w:position w:val="0"/>
          <w:sz w:val="24"/>
          <w:shd w:fill="auto" w:val="clear"/>
        </w:rPr>
        <w:t xml:space="preserve">ң предоставляет в Клирингтік орталық письмо:</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производит разблокировку и возврат биржевого обеспечения в соответствии с Правилами клиринга, после 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pPr>
        <w:widowControl w:val="false"/>
        <w:numPr>
          <w:ilvl w:val="0"/>
          <w:numId w:val="10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с изменениями и дополнениями вступает в силу со дня опубликования ее на интернет-ресурсе Биржи.</w:t>
      </w:r>
    </w:p>
    <w:p>
      <w:pPr>
        <w:widowControl w:val="false"/>
        <w:numPr>
          <w:ilvl w:val="0"/>
          <w:numId w:val="10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tab/>
      </w:r>
      <w:r>
        <w:rPr>
          <w:rFonts w:ascii="Times New Roman" w:hAnsi="Times New Roman" w:cs="Times New Roman" w:eastAsia="Times New Roman"/>
          <w:b/>
          <w:color w:val="000000"/>
          <w:spacing w:val="0"/>
          <w:position w:val="0"/>
          <w:sz w:val="24"/>
          <w:shd w:fill="auto" w:val="clear"/>
        </w:rPr>
        <w:t xml:space="preserve">Прочие условия</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және оларды орындауға міндеттенеді.ь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88"/>
        <w:gridCol w:w="5015"/>
        <w:gridCol w:w="117"/>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B3-____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4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Павлодарский Нефтехимический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2"/>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42"/>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42"/>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6"/>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 М</w:t>
            </w:r>
            <w:r>
              <w:rPr>
                <w:rFonts w:ascii="Times New Roman" w:hAnsi="Times New Roman" w:cs="Times New Roman" w:eastAsia="Times New Roman"/>
                <w:color w:val="auto"/>
                <w:spacing w:val="0"/>
                <w:position w:val="0"/>
                <w:sz w:val="24"/>
                <w:shd w:fill="auto" w:val="clear"/>
              </w:rPr>
              <w:t xml:space="preserve">ұнай-химия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ПМХЗ)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5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4"/>
              </w:numPr>
              <w:tabs>
                <w:tab w:val="left" w:pos="708" w:leader="none"/>
                <w:tab w:val="left" w:pos="602" w:leader="none"/>
              </w:tabs>
              <w:suppressAutoHyphens w:val="true"/>
              <w:spacing w:before="0" w:after="0" w:line="240"/>
              <w:ind w:right="0"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6"/>
              </w:numPr>
              <w:tabs>
                <w:tab w:val="left" w:pos="708" w:leader="none"/>
                <w:tab w:val="left" w:pos="602" w:leader="none"/>
              </w:tabs>
              <w:suppressAutoHyphens w:val="true"/>
              <w:spacing w:before="0" w:after="0" w:line="240"/>
              <w:ind w:right="0" w:left="602" w:hanging="144"/>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68"/>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0"/>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3"/>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76"/>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79"/>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79"/>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7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4"/>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8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89"/>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8"/>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0"/>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3"/>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5"/>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numPr>
                <w:ilvl w:val="0"/>
                <w:numId w:val="207"/>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numPr>
                <w:ilvl w:val="0"/>
                <w:numId w:val="209"/>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1"/>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1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2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0"/>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32"/>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3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3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3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3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3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41"/>
              </w:numPr>
              <w:tabs>
                <w:tab w:val="left" w:pos="0" w:leader="none"/>
              </w:tabs>
              <w:suppressAutoHyphens w:val="true"/>
              <w:spacing w:before="0" w:after="0" w:line="240"/>
              <w:ind w:right="0" w:left="499" w:hanging="45"/>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4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4"/>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9"/>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5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5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5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74"/>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7"/>
              </w:numPr>
              <w:tabs>
                <w:tab w:val="left" w:pos="0" w:leader="none"/>
              </w:tabs>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2"/>
              </w:numPr>
              <w:tabs>
                <w:tab w:val="left" w:pos="708" w:leader="none"/>
                <w:tab w:val="left" w:pos="744"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4"/>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6"/>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2"/>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35"/>
              </w:numPr>
              <w:tabs>
                <w:tab w:val="left" w:pos="0" w:leader="none"/>
              </w:tabs>
              <w:suppressAutoHyphens w:val="true"/>
              <w:spacing w:before="0" w:after="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38"/>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43"/>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5"/>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4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4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spacing w:before="0" w:after="0" w:line="240"/>
              <w:ind w:right="93" w:left="72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353"/>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55"/>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56"/>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6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6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75"/>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8"/>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2"/>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5"/>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9"/>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94"/>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5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8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561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B3-______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91"/>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Павлодар-Порт,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50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501"/>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50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50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508"/>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5"/>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Павлодар-Порт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45"/>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98">
    <w:lvl w:ilvl="0">
      <w:start w:val="1"/>
      <w:numFmt w:val="bullet"/>
      <w:lvlText w:val="•"/>
    </w:lvl>
  </w:abstractNum>
  <w:abstractNum w:abstractNumId="50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num w:numId="7">
    <w:abstractNumId w:val="522"/>
  </w:num>
  <w:num w:numId="70">
    <w:abstractNumId w:val="516"/>
  </w:num>
  <w:num w:numId="81">
    <w:abstractNumId w:val="510"/>
  </w:num>
  <w:num w:numId="93">
    <w:abstractNumId w:val="504"/>
  </w:num>
  <w:num w:numId="103">
    <w:abstractNumId w:val="498"/>
  </w:num>
  <w:num w:numId="137">
    <w:abstractNumId w:val="492"/>
  </w:num>
  <w:num w:numId="140">
    <w:abstractNumId w:val="486"/>
  </w:num>
  <w:num w:numId="142">
    <w:abstractNumId w:val="480"/>
  </w:num>
  <w:num w:numId="146">
    <w:abstractNumId w:val="474"/>
  </w:num>
  <w:num w:numId="150">
    <w:abstractNumId w:val="468"/>
  </w:num>
  <w:num w:numId="153">
    <w:abstractNumId w:val="462"/>
  </w:num>
  <w:num w:numId="158">
    <w:abstractNumId w:val="456"/>
  </w:num>
  <w:num w:numId="164">
    <w:abstractNumId w:val="450"/>
  </w:num>
  <w:num w:numId="166">
    <w:abstractNumId w:val="444"/>
  </w:num>
  <w:num w:numId="168">
    <w:abstractNumId w:val="438"/>
  </w:num>
  <w:num w:numId="170">
    <w:abstractNumId w:val="432"/>
  </w:num>
  <w:num w:numId="173">
    <w:abstractNumId w:val="426"/>
  </w:num>
  <w:num w:numId="176">
    <w:abstractNumId w:val="420"/>
  </w:num>
  <w:num w:numId="179">
    <w:abstractNumId w:val="414"/>
  </w:num>
  <w:num w:numId="184">
    <w:abstractNumId w:val="408"/>
  </w:num>
  <w:num w:numId="189">
    <w:abstractNumId w:val="402"/>
  </w:num>
  <w:num w:numId="193">
    <w:abstractNumId w:val="396"/>
  </w:num>
  <w:num w:numId="198">
    <w:abstractNumId w:val="390"/>
  </w:num>
  <w:num w:numId="200">
    <w:abstractNumId w:val="384"/>
  </w:num>
  <w:num w:numId="203">
    <w:abstractNumId w:val="378"/>
  </w:num>
  <w:num w:numId="205">
    <w:abstractNumId w:val="372"/>
  </w:num>
  <w:num w:numId="207">
    <w:abstractNumId w:val="366"/>
  </w:num>
  <w:num w:numId="209">
    <w:abstractNumId w:val="360"/>
  </w:num>
  <w:num w:numId="211">
    <w:abstractNumId w:val="354"/>
  </w:num>
  <w:num w:numId="213">
    <w:abstractNumId w:val="348"/>
  </w:num>
  <w:num w:numId="217">
    <w:abstractNumId w:val="342"/>
  </w:num>
  <w:num w:numId="219">
    <w:abstractNumId w:val="336"/>
  </w:num>
  <w:num w:numId="221">
    <w:abstractNumId w:val="330"/>
  </w:num>
  <w:num w:numId="223">
    <w:abstractNumId w:val="324"/>
  </w:num>
  <w:num w:numId="225">
    <w:abstractNumId w:val="318"/>
  </w:num>
  <w:num w:numId="227">
    <w:abstractNumId w:val="312"/>
  </w:num>
  <w:num w:numId="230">
    <w:abstractNumId w:val="306"/>
  </w:num>
  <w:num w:numId="232">
    <w:abstractNumId w:val="300"/>
  </w:num>
  <w:num w:numId="235">
    <w:abstractNumId w:val="294"/>
  </w:num>
  <w:num w:numId="237">
    <w:abstractNumId w:val="288"/>
  </w:num>
  <w:num w:numId="241">
    <w:abstractNumId w:val="282"/>
  </w:num>
  <w:num w:numId="244">
    <w:abstractNumId w:val="276"/>
  </w:num>
  <w:num w:numId="249">
    <w:abstractNumId w:val="270"/>
  </w:num>
  <w:num w:numId="252">
    <w:abstractNumId w:val="264"/>
  </w:num>
  <w:num w:numId="255">
    <w:abstractNumId w:val="258"/>
  </w:num>
  <w:num w:numId="259">
    <w:abstractNumId w:val="252"/>
  </w:num>
  <w:num w:numId="274">
    <w:abstractNumId w:val="246"/>
  </w:num>
  <w:num w:numId="281">
    <w:abstractNumId w:val="240"/>
  </w:num>
  <w:num w:numId="283">
    <w:abstractNumId w:val="234"/>
  </w:num>
  <w:num w:numId="285">
    <w:abstractNumId w:val="228"/>
  </w:num>
  <w:num w:numId="287">
    <w:abstractNumId w:val="222"/>
  </w:num>
  <w:num w:numId="293">
    <w:abstractNumId w:val="216"/>
  </w:num>
  <w:num w:numId="296">
    <w:abstractNumId w:val="210"/>
  </w:num>
  <w:num w:numId="298">
    <w:abstractNumId w:val="204"/>
  </w:num>
  <w:num w:numId="300">
    <w:abstractNumId w:val="198"/>
  </w:num>
  <w:num w:numId="302">
    <w:abstractNumId w:val="192"/>
  </w:num>
  <w:num w:numId="304">
    <w:abstractNumId w:val="186"/>
  </w:num>
  <w:num w:numId="306">
    <w:abstractNumId w:val="180"/>
  </w:num>
  <w:num w:numId="308">
    <w:abstractNumId w:val="174"/>
  </w:num>
  <w:num w:numId="310">
    <w:abstractNumId w:val="168"/>
  </w:num>
  <w:num w:numId="312">
    <w:abstractNumId w:val="162"/>
  </w:num>
  <w:num w:numId="315">
    <w:abstractNumId w:val="156"/>
  </w:num>
  <w:num w:numId="317">
    <w:abstractNumId w:val="150"/>
  </w:num>
  <w:num w:numId="319">
    <w:abstractNumId w:val="144"/>
  </w:num>
  <w:num w:numId="322">
    <w:abstractNumId w:val="138"/>
  </w:num>
  <w:num w:numId="324">
    <w:abstractNumId w:val="132"/>
  </w:num>
  <w:num w:numId="326">
    <w:abstractNumId w:val="126"/>
  </w:num>
  <w:num w:numId="328">
    <w:abstractNumId w:val="120"/>
  </w:num>
  <w:num w:numId="330">
    <w:abstractNumId w:val="114"/>
  </w:num>
  <w:num w:numId="332">
    <w:abstractNumId w:val="108"/>
  </w:num>
  <w:num w:numId="335">
    <w:abstractNumId w:val="102"/>
  </w:num>
  <w:num w:numId="338">
    <w:abstractNumId w:val="96"/>
  </w:num>
  <w:num w:numId="343">
    <w:abstractNumId w:val="90"/>
  </w:num>
  <w:num w:numId="345">
    <w:abstractNumId w:val="84"/>
  </w:num>
  <w:num w:numId="349">
    <w:abstractNumId w:val="78"/>
  </w:num>
  <w:num w:numId="353">
    <w:abstractNumId w:val="103"/>
  </w:num>
  <w:num w:numId="355">
    <w:abstractNumId w:val="97"/>
  </w:num>
  <w:num w:numId="356">
    <w:abstractNumId w:val="72"/>
  </w:num>
  <w:num w:numId="364">
    <w:abstractNumId w:val="66"/>
  </w:num>
  <w:num w:numId="370">
    <w:abstractNumId w:val="60"/>
  </w:num>
  <w:num w:numId="375">
    <w:abstractNumId w:val="54"/>
  </w:num>
  <w:num w:numId="378">
    <w:abstractNumId w:val="48"/>
  </w:num>
  <w:num w:numId="382">
    <w:abstractNumId w:val="42"/>
  </w:num>
  <w:num w:numId="385">
    <w:abstractNumId w:val="36"/>
  </w:num>
  <w:num w:numId="387">
    <w:abstractNumId w:val="30"/>
  </w:num>
  <w:num w:numId="389">
    <w:abstractNumId w:val="91"/>
  </w:num>
  <w:num w:numId="391">
    <w:abstractNumId w:val="85"/>
  </w:num>
  <w:num w:numId="394">
    <w:abstractNumId w:val="24"/>
  </w:num>
  <w:num w:numId="401">
    <w:abstractNumId w:val="18"/>
  </w:num>
  <w:num w:numId="404">
    <w:abstractNumId w:val="79"/>
  </w:num>
  <w:num w:numId="408">
    <w:abstractNumId w:val="73"/>
  </w:num>
  <w:num w:numId="410">
    <w:abstractNumId w:val="67"/>
  </w:num>
  <w:num w:numId="413">
    <w:abstractNumId w:val="61"/>
  </w:num>
  <w:num w:numId="416">
    <w:abstractNumId w:val="55"/>
  </w:num>
  <w:num w:numId="419">
    <w:abstractNumId w:val="49"/>
  </w:num>
  <w:num w:numId="422">
    <w:abstractNumId w:val="43"/>
  </w:num>
  <w:num w:numId="428">
    <w:abstractNumId w:val="37"/>
  </w:num>
  <w:num w:numId="433">
    <w:abstractNumId w:val="12"/>
  </w:num>
  <w:num w:numId="456">
    <w:abstractNumId w:val="6"/>
  </w:num>
  <w:num w:numId="481">
    <w:abstractNumId w:val="0"/>
  </w:num>
  <w:num w:numId="489">
    <w:abstractNumId w:val="31"/>
  </w:num>
  <w:num w:numId="491">
    <w:abstractNumId w:val="25"/>
  </w:num>
  <w:num w:numId="501">
    <w:abstractNumId w:val="19"/>
  </w:num>
  <w:num w:numId="508">
    <w:abstractNumId w:val="13"/>
  </w:num>
  <w:num w:numId="515">
    <w:abstractNumId w:val="7"/>
  </w:num>
  <w:num w:numId="545">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Mode="External" Target="mailto:azk_almaz@list.ru" Id="docRId8" Type="http://schemas.openxmlformats.org/officeDocument/2006/relationships/hyperlink" /><Relationship TargetMode="External" Target="http://www.ets.kz/" Id="docRId1" Type="http://schemas.openxmlformats.org/officeDocument/2006/relationships/hyperlink" /><Relationship Target="styles.xml" Id="docRId11" Type="http://schemas.openxmlformats.org/officeDocument/2006/relationships/styles"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s>
</file>