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AD313K1 -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Түркістан облысына,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AD313K1 -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Түркістан облысына,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