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"12" 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01</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UWDEXWA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EXW жеткізу шарттары, сауда лоты - 1 тонна</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қосарланған қарсы аукцион режиміндегі биржалық сауда-саттықтар үшін)  </w:t>
      </w:r>
    </w:p>
    <w:p>
      <w:pPr>
        <w:widowControl w:val="false"/>
        <w:numPr>
          <w:ilvl w:val="0"/>
          <w:numId w:val="4"/>
        </w:numPr>
        <w:tabs>
          <w:tab w:val="left" w:pos="965" w:leader="none"/>
        </w:tabs>
        <w:suppressAutoHyphens w:val="true"/>
        <w:spacing w:before="360" w:after="360" w:line="240"/>
        <w:ind w:right="0" w:left="965"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965"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ets</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965"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965"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Спецификацияда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 ережелеріне, Қазақстан Республикасының заңнамасына сәйкес түсініледі.</w:t>
      </w:r>
    </w:p>
    <w:p>
      <w:pPr>
        <w:widowControl w:val="false"/>
        <w:numPr>
          <w:ilvl w:val="0"/>
          <w:numId w:val="73"/>
        </w:numPr>
        <w:tabs>
          <w:tab w:val="left" w:pos="965" w:leader="none"/>
        </w:tabs>
        <w:suppressAutoHyphens w:val="true"/>
        <w:spacing w:before="360" w:after="360" w:line="240"/>
        <w:ind w:right="0" w:left="965"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567"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коды: UWDEXWA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сауда лот - 1 тонна;</w:t>
      </w:r>
    </w:p>
    <w:p>
      <w:pPr>
        <w:widowControl w:val="false"/>
        <w:numPr>
          <w:ilvl w:val="0"/>
          <w:numId w:val="73"/>
        </w:numPr>
        <w:tabs>
          <w:tab w:val="left" w:pos="567"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3"/>
        </w:numPr>
        <w:tabs>
          <w:tab w:val="left" w:pos="567"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60 </w:t>
      </w:r>
      <w:r>
        <w:rPr>
          <w:rFonts w:ascii="Times New Roman" w:hAnsi="Times New Roman" w:cs="Times New Roman" w:eastAsia="Times New Roman"/>
          <w:color w:val="000000"/>
          <w:spacing w:val="0"/>
          <w:position w:val="0"/>
          <w:sz w:val="24"/>
          <w:shd w:fill="auto" w:val="clear"/>
        </w:rPr>
        <w:t xml:space="preserve">метрикалы</w:t>
      </w:r>
      <w:r>
        <w:rPr>
          <w:rFonts w:ascii="Times New Roman" w:hAnsi="Times New Roman" w:cs="Times New Roman" w:eastAsia="Times New Roman"/>
          <w:color w:val="000000"/>
          <w:spacing w:val="0"/>
          <w:position w:val="0"/>
          <w:sz w:val="24"/>
          <w:shd w:fill="auto" w:val="clear"/>
        </w:rPr>
        <w:t xml:space="preserve">қ тонна;</w:t>
      </w:r>
    </w:p>
    <w:p>
      <w:pPr>
        <w:widowControl w:val="false"/>
        <w:numPr>
          <w:ilvl w:val="0"/>
          <w:numId w:val="73"/>
        </w:numPr>
        <w:tabs>
          <w:tab w:val="left" w:pos="567"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3"/>
        </w:numPr>
        <w:tabs>
          <w:tab w:val="left" w:pos="567"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567"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567"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автомобиль, темір жол;</w:t>
      </w:r>
    </w:p>
    <w:p>
      <w:pPr>
        <w:widowControl w:val="false"/>
        <w:numPr>
          <w:ilvl w:val="0"/>
          <w:numId w:val="73"/>
        </w:numPr>
        <w:tabs>
          <w:tab w:val="left" w:pos="567"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567"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 </w:t>
      </w:r>
      <w:r>
        <w:rPr>
          <w:rFonts w:ascii="Times New Roman" w:hAnsi="Times New Roman" w:cs="Times New Roman" w:eastAsia="Times New Roman"/>
          <w:color w:val="000000"/>
          <w:spacing w:val="0"/>
          <w:position w:val="0"/>
          <w:sz w:val="24"/>
          <w:shd w:fill="auto" w:val="clear"/>
        </w:rPr>
        <w:t xml:space="preserve">қосымшаға сәйкес;</w:t>
      </w:r>
    </w:p>
    <w:p>
      <w:pPr>
        <w:widowControl w:val="false"/>
        <w:numPr>
          <w:ilvl w:val="0"/>
          <w:numId w:val="73"/>
        </w:numPr>
        <w:tabs>
          <w:tab w:val="left" w:pos="567"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567"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3"/>
        </w:numPr>
        <w:tabs>
          <w:tab w:val="left" w:pos="567"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3"/>
        </w:numPr>
        <w:tabs>
          <w:tab w:val="left" w:pos="567"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567"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3"/>
        </w:numPr>
        <w:tabs>
          <w:tab w:val="left" w:pos="567"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567"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965" w:leader="none"/>
        </w:tabs>
        <w:suppressAutoHyphens w:val="true"/>
        <w:spacing w:before="360" w:after="360" w:line="240"/>
        <w:ind w:right="0" w:left="965"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сауда-саттық бойынша шарттарды жасасу мерзімдері мәмілеге</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965"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965"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965"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965"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965"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965"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965"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965"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965"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numPr>
          <w:ilvl w:val="0"/>
          <w:numId w:val="89"/>
        </w:numPr>
        <w:tabs>
          <w:tab w:val="left" w:pos="965" w:leader="none"/>
        </w:tabs>
        <w:suppressAutoHyphens w:val="true"/>
        <w:spacing w:before="360" w:after="360" w:line="240"/>
        <w:ind w:right="0" w:left="965"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965"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965"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965"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965"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965"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965"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965"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965"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89"/>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89"/>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89"/>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89"/>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89"/>
        </w:numPr>
        <w:tabs>
          <w:tab w:val="left" w:pos="965"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89"/>
        </w:numPr>
        <w:tabs>
          <w:tab w:val="left" w:pos="965"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89"/>
        </w:numPr>
        <w:tabs>
          <w:tab w:val="left" w:pos="965"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89"/>
        </w:numPr>
        <w:tabs>
          <w:tab w:val="left" w:pos="965" w:leader="none"/>
        </w:tabs>
        <w:suppressAutoHyphens w:val="true"/>
        <w:spacing w:before="360" w:after="360" w:line="240"/>
        <w:ind w:right="0" w:left="965"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965"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965"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965"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965"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89"/>
        </w:numPr>
        <w:tabs>
          <w:tab w:val="left" w:pos="965"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89"/>
        </w:numPr>
        <w:tabs>
          <w:tab w:val="left" w:pos="567"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tabs>
          <w:tab w:val="left" w:pos="965"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965"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965"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жеткізу/ж</w:t>
      </w:r>
      <w:r>
        <w:rPr>
          <w:rFonts w:ascii="Times New Roman" w:hAnsi="Times New Roman" w:cs="Times New Roman" w:eastAsia="Times New Roman"/>
          <w:color w:val="auto"/>
          <w:spacing w:val="0"/>
          <w:position w:val="0"/>
          <w:sz w:val="24"/>
          <w:shd w:fill="auto" w:val="clear"/>
        </w:rPr>
        <w:t xml:space="preserve">өнелту туралы екі жақтан қол қойылған барлық растайтын құжаттарды қоса бере отырып.</w:t>
      </w:r>
    </w:p>
    <w:p>
      <w:pPr>
        <w:widowControl w:val="false"/>
        <w:tabs>
          <w:tab w:val="left" w:pos="965" w:leader="none"/>
        </w:tabs>
        <w:suppressAutoHyphens w:val="true"/>
        <w:spacing w:before="360" w:after="36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 орталы</w:t>
      </w:r>
      <w:r>
        <w:rPr>
          <w:rFonts w:ascii="Times New Roman" w:hAnsi="Times New Roman" w:cs="Times New Roman" w:eastAsia="Times New Roman"/>
          <w:color w:val="auto"/>
          <w:spacing w:val="0"/>
          <w:position w:val="0"/>
          <w:sz w:val="24"/>
          <w:shd w:fill="auto" w:val="clear"/>
        </w:rPr>
        <w:t xml:space="preserve">ғы Клиринг ережелеріне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tabs>
          <w:tab w:val="left" w:pos="965" w:leader="none"/>
        </w:tabs>
        <w:suppressAutoHyphens w:val="true"/>
        <w:spacing w:before="0" w:after="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0"/>
        </w:numPr>
        <w:tabs>
          <w:tab w:val="left" w:pos="965"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6.1. </w:t>
      </w: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0"/>
        </w:numPr>
        <w:tabs>
          <w:tab w:val="left" w:pos="965"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 </w:t>
      </w: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0"/>
        </w:numPr>
        <w:tabs>
          <w:tab w:val="left" w:pos="965" w:leader="none"/>
        </w:tabs>
        <w:suppressAutoHyphens w:val="true"/>
        <w:spacing w:before="0" w:after="120" w:line="240"/>
        <w:ind w:right="0" w:left="709"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6.3. </w:t>
      </w: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EXW</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5"/>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EXW</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Works </w:t>
            </w:r>
            <w:r>
              <w:rPr>
                <w:rFonts w:ascii="Times New Roman" w:hAnsi="Times New Roman" w:cs="Times New Roman" w:eastAsia="Times New Roman"/>
                <w:color w:val="auto"/>
                <w:spacing w:val="0"/>
                <w:position w:val="0"/>
                <w:sz w:val="24"/>
                <w:shd w:fill="auto" w:val="clear"/>
              </w:rPr>
              <w:t xml:space="preserve">термині "Франко зауыты" (...жер атауы " Инкотермс бойынша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зауыты" термині сатушы тауарды </w:t>
            </w:r>
            <w:r>
              <w:rPr>
                <w:rFonts w:ascii="Times New Roman" w:hAnsi="Times New Roman" w:cs="Times New Roman" w:eastAsia="Times New Roman"/>
                <w:color w:val="auto"/>
                <w:spacing w:val="0"/>
                <w:position w:val="0"/>
                <w:sz w:val="24"/>
                <w:shd w:fill="auto" w:val="clear"/>
              </w:rPr>
              <w:t xml:space="preserve">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61"/>
              </w:numPr>
              <w:tabs>
                <w:tab w:val="left" w:pos="965"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61"/>
              </w:numPr>
              <w:tabs>
                <w:tab w:val="left" w:pos="965"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5"/>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5"/>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Келісім-шарт</w:t>
      </w:r>
      <w:r>
        <w:rPr>
          <w:rFonts w:ascii="Times New Roman" w:hAnsi="Times New Roman" w:cs="Times New Roman" w:eastAsia="Times New Roman"/>
          <w:color w:val="auto"/>
          <w:spacing w:val="0"/>
          <w:position w:val="0"/>
          <w:sz w:val="24"/>
          <w:shd w:fill="auto" w:val="clear"/>
        </w:rPr>
        <w:t xml:space="preserve">қа сәйкес және оған сәйкес Сатушы EXW шарттарымен сатады, ал Сатып алушы (Төлеуші) Тауарларды қабылдайды және төлейді. </w:t>
      </w:r>
    </w:p>
    <w:p>
      <w:pPr>
        <w:widowControl w:val="false"/>
        <w:numPr>
          <w:ilvl w:val="0"/>
          <w:numId w:val="195"/>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8"/>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01"/>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20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EXW Инкотермс 2020 талаптары бойынша ж</w:t>
      </w:r>
      <w:r>
        <w:rPr>
          <w:rFonts w:ascii="Times New Roman" w:hAnsi="Times New Roman" w:cs="Times New Roman" w:eastAsia="Times New Roman"/>
          <w:color w:val="auto"/>
          <w:spacing w:val="0"/>
          <w:position w:val="0"/>
          <w:sz w:val="24"/>
          <w:shd w:fill="auto" w:val="clear"/>
        </w:rPr>
        <w:t xml:space="preserve">үзеге асырылады.</w:t>
      </w:r>
    </w:p>
    <w:p>
      <w:pPr>
        <w:widowControl w:val="false"/>
        <w:numPr>
          <w:ilvl w:val="0"/>
          <w:numId w:val="20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04"/>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204"/>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204"/>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11"/>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11"/>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11"/>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965"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8"/>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8"/>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8"/>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8"/>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8"/>
        </w:numPr>
        <w:tabs>
          <w:tab w:val="left" w:pos="0"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8"/>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8"/>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4"/>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24"/>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24"/>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24"/>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24"/>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24"/>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7"/>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7"/>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7"/>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30"/>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3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3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3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3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30"/>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34"/>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numPr>
          <w:ilvl w:val="0"/>
          <w:numId w:val="248"/>
        </w:numPr>
        <w:tabs>
          <w:tab w:val="left" w:pos="965"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0" w:left="3544"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қанттың спецификациясына</w:t>
      </w:r>
    </w:p>
    <w:p>
      <w:pPr>
        <w:widowControl w:val="false"/>
        <w:suppressAutoHyphens w:val="true"/>
        <w:spacing w:before="0" w:after="0" w:line="240"/>
        <w:ind w:right="0" w:left="3544"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 шарттары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EXW</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Қант зауыттарының тізімі</w:t>
      </w:r>
    </w:p>
    <w:p>
      <w:pPr>
        <w:widowControl w:val="false"/>
        <w:suppressAutoHyphens w:val="true"/>
        <w:spacing w:before="0" w:after="0" w:line="240"/>
        <w:ind w:right="0" w:left="3544" w:firstLine="0"/>
        <w:jc w:val="right"/>
        <w:rPr>
          <w:rFonts w:ascii="Times New Roman" w:hAnsi="Times New Roman" w:cs="Times New Roman" w:eastAsia="Times New Roman"/>
          <w:b/>
          <w:color w:val="auto"/>
          <w:spacing w:val="0"/>
          <w:position w:val="0"/>
          <w:sz w:val="24"/>
          <w:shd w:fill="auto" w:val="clear"/>
        </w:rPr>
      </w:pPr>
    </w:p>
    <w:tbl>
      <w:tblPr/>
      <w:tblGrid>
        <w:gridCol w:w="2283"/>
        <w:gridCol w:w="7016"/>
      </w:tblGrid>
      <w:tr>
        <w:trPr>
          <w:trHeight w:val="276" w:hRule="auto"/>
          <w:jc w:val="left"/>
        </w:trPr>
        <w:tc>
          <w:tcPr>
            <w:tcW w:w="2283" w:type="dxa"/>
            <w:vMerge w:val="restart"/>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Облыс</w:t>
            </w:r>
          </w:p>
        </w:tc>
        <w:tc>
          <w:tcPr>
            <w:tcW w:w="7016" w:type="dxa"/>
            <w:vMerge w:val="restart"/>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Зауыттар</w:t>
            </w:r>
          </w:p>
        </w:tc>
      </w:tr>
      <w:tr>
        <w:trPr>
          <w:trHeight w:val="276" w:hRule="auto"/>
          <w:jc w:val="left"/>
        </w:trPr>
        <w:tc>
          <w:tcPr>
            <w:tcW w:w="2283" w:type="dxa"/>
            <w:vMerge/>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016" w:type="dxa"/>
            <w:vMerge/>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276" w:hRule="auto"/>
          <w:jc w:val="left"/>
        </w:trPr>
        <w:tc>
          <w:tcPr>
            <w:tcW w:w="2283" w:type="dxa"/>
            <w:vMerge/>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016" w:type="dxa"/>
            <w:vMerge/>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450" w:hRule="auto"/>
          <w:jc w:val="left"/>
        </w:trPr>
        <w:tc>
          <w:tcPr>
            <w:tcW w:w="2283"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Жамбыл</w:t>
            </w:r>
          </w:p>
        </w:tc>
        <w:tc>
          <w:tcPr>
            <w:tcW w:w="7016"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Тараз </w:t>
            </w:r>
            <w:r>
              <w:rPr>
                <w:rFonts w:ascii="Times New Roman" w:hAnsi="Times New Roman" w:cs="Times New Roman" w:eastAsia="Times New Roman"/>
                <w:color w:val="auto"/>
                <w:spacing w:val="0"/>
                <w:position w:val="0"/>
                <w:sz w:val="24"/>
                <w:shd w:fill="auto" w:val="clear"/>
              </w:rPr>
              <w:t xml:space="preserve">қант зауыты" ЖШС</w:t>
            </w:r>
          </w:p>
        </w:tc>
      </w:tr>
      <w:tr>
        <w:trPr>
          <w:trHeight w:val="450" w:hRule="auto"/>
          <w:jc w:val="left"/>
        </w:trPr>
        <w:tc>
          <w:tcPr>
            <w:tcW w:w="2283"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016"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Меркі </w:t>
            </w:r>
            <w:r>
              <w:rPr>
                <w:rFonts w:ascii="Times New Roman" w:hAnsi="Times New Roman" w:cs="Times New Roman" w:eastAsia="Times New Roman"/>
                <w:color w:val="auto"/>
                <w:spacing w:val="0"/>
                <w:position w:val="0"/>
                <w:sz w:val="24"/>
                <w:shd w:fill="auto" w:val="clear"/>
              </w:rPr>
              <w:t xml:space="preserve">қант зауыты" ЖШС</w:t>
            </w:r>
          </w:p>
        </w:tc>
      </w:tr>
      <w:tr>
        <w:trPr>
          <w:trHeight w:val="450" w:hRule="auto"/>
          <w:jc w:val="left"/>
        </w:trPr>
        <w:tc>
          <w:tcPr>
            <w:tcW w:w="2283"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Алматы</w:t>
            </w:r>
          </w:p>
        </w:tc>
        <w:tc>
          <w:tcPr>
            <w:tcW w:w="7016"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өксу қант зауыты" ЖШС</w:t>
            </w:r>
          </w:p>
        </w:tc>
      </w:tr>
      <w:tr>
        <w:trPr>
          <w:trHeight w:val="450" w:hRule="auto"/>
          <w:jc w:val="left"/>
        </w:trPr>
        <w:tc>
          <w:tcPr>
            <w:tcW w:w="2283"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016"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қсу қант зауыты" ЖШС</w:t>
            </w:r>
          </w:p>
        </w:tc>
      </w:tr>
    </w:tbl>
    <w:p>
      <w:pPr>
        <w:widowControl w:val="false"/>
        <w:tabs>
          <w:tab w:val="left" w:pos="965" w:leader="none"/>
        </w:tabs>
        <w:suppressAutoHyphens w:val="true"/>
        <w:spacing w:before="120" w:after="0" w:line="240"/>
        <w:ind w:right="0" w:left="0" w:firstLine="0"/>
        <w:jc w:val="center"/>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num w:numId="4">
    <w:abstractNumId w:val="288"/>
  </w:num>
  <w:num w:numId="6">
    <w:abstractNumId w:val="282"/>
  </w:num>
  <w:num w:numId="12">
    <w:abstractNumId w:val="276"/>
  </w:num>
  <w:num w:numId="14">
    <w:abstractNumId w:val="270"/>
  </w:num>
  <w:num w:numId="16">
    <w:abstractNumId w:val="264"/>
  </w:num>
  <w:num w:numId="18">
    <w:abstractNumId w:val="258"/>
  </w:num>
  <w:num w:numId="20">
    <w:abstractNumId w:val="252"/>
  </w:num>
  <w:num w:numId="22">
    <w:abstractNumId w:val="246"/>
  </w:num>
  <w:num w:numId="24">
    <w:abstractNumId w:val="240"/>
  </w:num>
  <w:num w:numId="26">
    <w:abstractNumId w:val="234"/>
  </w:num>
  <w:num w:numId="28">
    <w:abstractNumId w:val="228"/>
  </w:num>
  <w:num w:numId="30">
    <w:abstractNumId w:val="222"/>
  </w:num>
  <w:num w:numId="32">
    <w:abstractNumId w:val="216"/>
  </w:num>
  <w:num w:numId="36">
    <w:abstractNumId w:val="210"/>
  </w:num>
  <w:num w:numId="40">
    <w:abstractNumId w:val="204"/>
  </w:num>
  <w:num w:numId="44">
    <w:abstractNumId w:val="198"/>
  </w:num>
  <w:num w:numId="48">
    <w:abstractNumId w:val="192"/>
  </w:num>
  <w:num w:numId="52">
    <w:abstractNumId w:val="186"/>
  </w:num>
  <w:num w:numId="56">
    <w:abstractNumId w:val="180"/>
  </w:num>
  <w:num w:numId="60">
    <w:abstractNumId w:val="174"/>
  </w:num>
  <w:num w:numId="64">
    <w:abstractNumId w:val="168"/>
  </w:num>
  <w:num w:numId="68">
    <w:abstractNumId w:val="162"/>
  </w:num>
  <w:num w:numId="73">
    <w:abstractNumId w:val="156"/>
  </w:num>
  <w:num w:numId="77">
    <w:abstractNumId w:val="150"/>
  </w:num>
  <w:num w:numId="81">
    <w:abstractNumId w:val="144"/>
  </w:num>
  <w:num w:numId="84">
    <w:abstractNumId w:val="138"/>
  </w:num>
  <w:num w:numId="89">
    <w:abstractNumId w:val="132"/>
  </w:num>
  <w:num w:numId="91">
    <w:abstractNumId w:val="126"/>
  </w:num>
  <w:num w:numId="95">
    <w:abstractNumId w:val="120"/>
  </w:num>
  <w:num w:numId="98">
    <w:abstractNumId w:val="114"/>
  </w:num>
  <w:num w:numId="101">
    <w:abstractNumId w:val="108"/>
  </w:num>
  <w:num w:numId="104">
    <w:abstractNumId w:val="102"/>
  </w:num>
  <w:num w:numId="108">
    <w:abstractNumId w:val="96"/>
  </w:num>
  <w:num w:numId="112">
    <w:abstractNumId w:val="90"/>
  </w:num>
  <w:num w:numId="115">
    <w:abstractNumId w:val="84"/>
  </w:num>
  <w:num w:numId="120">
    <w:abstractNumId w:val="78"/>
  </w:num>
  <w:num w:numId="135">
    <w:abstractNumId w:val="72"/>
  </w:num>
  <w:num w:numId="161">
    <w:abstractNumId w:val="66"/>
  </w:num>
  <w:num w:numId="195">
    <w:abstractNumId w:val="60"/>
  </w:num>
  <w:num w:numId="198">
    <w:abstractNumId w:val="54"/>
  </w:num>
  <w:num w:numId="201">
    <w:abstractNumId w:val="48"/>
  </w:num>
  <w:num w:numId="204">
    <w:abstractNumId w:val="42"/>
  </w:num>
  <w:num w:numId="211">
    <w:abstractNumId w:val="36"/>
  </w:num>
  <w:num w:numId="218">
    <w:abstractNumId w:val="30"/>
  </w:num>
  <w:num w:numId="224">
    <w:abstractNumId w:val="24"/>
  </w:num>
  <w:num w:numId="227">
    <w:abstractNumId w:val="18"/>
  </w:num>
  <w:num w:numId="230">
    <w:abstractNumId w:val="12"/>
  </w:num>
  <w:num w:numId="234">
    <w:abstractNumId w:val="6"/>
  </w:num>
  <w:num w:numId="24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