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ДТ-Л-K4 маркалы жазғы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жаз</w:t>
            </w:r>
            <w:r>
              <w:rPr>
                <w:rFonts w:ascii="Times New Roman" w:hAnsi="Times New Roman" w:cs="Times New Roman" w:eastAsia="Times New Roman"/>
                <w:color w:val="auto"/>
                <w:spacing w:val="0"/>
                <w:position w:val="0"/>
                <w:sz w:val="24"/>
                <w:shd w:fill="auto" w:val="clear"/>
              </w:rPr>
              <w:t xml:space="preserve">ғы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DSDF4EA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5"/>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0"/>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0"/>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0"/>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4"/>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3"/>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8"/>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58"/>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2"/>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2"/>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5"/>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0"/>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1"/>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0"/>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8"/>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17"/>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1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19"/>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2"/>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8"/>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40"/>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4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5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2"/>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0"/>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7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288"/>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298"/>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01"/>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01"/>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06"/>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0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9"/>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1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1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17"/>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3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34"/>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3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1"/>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52"/>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4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49"/>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59"/>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66"/>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5">
    <w:abstractNumId w:val="456"/>
  </w:num>
  <w:num w:numId="118">
    <w:abstractNumId w:val="450"/>
  </w:num>
  <w:num w:numId="120">
    <w:abstractNumId w:val="444"/>
  </w:num>
  <w:num w:numId="124">
    <w:abstractNumId w:val="438"/>
  </w:num>
  <w:num w:numId="128">
    <w:abstractNumId w:val="432"/>
  </w:num>
  <w:num w:numId="131">
    <w:abstractNumId w:val="426"/>
  </w:num>
  <w:num w:numId="134">
    <w:abstractNumId w:val="420"/>
  </w:num>
  <w:num w:numId="136">
    <w:abstractNumId w:val="414"/>
  </w:num>
  <w:num w:numId="138">
    <w:abstractNumId w:val="408"/>
  </w:num>
  <w:num w:numId="141">
    <w:abstractNumId w:val="402"/>
  </w:num>
  <w:num w:numId="148">
    <w:abstractNumId w:val="396"/>
  </w:num>
  <w:num w:numId="153">
    <w:abstractNumId w:val="390"/>
  </w:num>
  <w:num w:numId="156">
    <w:abstractNumId w:val="384"/>
  </w:num>
  <w:num w:numId="158">
    <w:abstractNumId w:val="378"/>
  </w:num>
  <w:num w:numId="162">
    <w:abstractNumId w:val="372"/>
  </w:num>
  <w:num w:numId="165">
    <w:abstractNumId w:val="366"/>
  </w:num>
  <w:num w:numId="170">
    <w:abstractNumId w:val="360"/>
  </w:num>
  <w:num w:numId="174">
    <w:abstractNumId w:val="354"/>
  </w:num>
  <w:num w:numId="184">
    <w:abstractNumId w:val="348"/>
  </w:num>
  <w:num w:numId="191">
    <w:abstractNumId w:val="342"/>
  </w:num>
  <w:num w:numId="195">
    <w:abstractNumId w:val="336"/>
  </w:num>
  <w:num w:numId="197">
    <w:abstractNumId w:val="330"/>
  </w:num>
  <w:num w:numId="200">
    <w:abstractNumId w:val="324"/>
  </w:num>
  <w:num w:numId="202">
    <w:abstractNumId w:val="318"/>
  </w:num>
  <w:num w:numId="204">
    <w:abstractNumId w:val="312"/>
  </w:num>
  <w:num w:numId="206">
    <w:abstractNumId w:val="306"/>
  </w:num>
  <w:num w:numId="208">
    <w:abstractNumId w:val="300"/>
  </w:num>
  <w:num w:numId="211">
    <w:abstractNumId w:val="294"/>
  </w:num>
  <w:num w:numId="213">
    <w:abstractNumId w:val="288"/>
  </w:num>
  <w:num w:numId="215">
    <w:abstractNumId w:val="282"/>
  </w:num>
  <w:num w:numId="217">
    <w:abstractNumId w:val="276"/>
  </w:num>
  <w:num w:numId="219">
    <w:abstractNumId w:val="270"/>
  </w:num>
  <w:num w:numId="222">
    <w:abstractNumId w:val="264"/>
  </w:num>
  <w:num w:numId="225">
    <w:abstractNumId w:val="258"/>
  </w:num>
  <w:num w:numId="228">
    <w:abstractNumId w:val="252"/>
  </w:num>
  <w:num w:numId="232">
    <w:abstractNumId w:val="246"/>
  </w:num>
  <w:num w:numId="238">
    <w:abstractNumId w:val="240"/>
  </w:num>
  <w:num w:numId="240">
    <w:abstractNumId w:val="234"/>
  </w:num>
  <w:num w:numId="245">
    <w:abstractNumId w:val="228"/>
  </w:num>
  <w:num w:numId="250">
    <w:abstractNumId w:val="222"/>
  </w:num>
  <w:num w:numId="252">
    <w:abstractNumId w:val="216"/>
  </w:num>
  <w:num w:numId="259">
    <w:abstractNumId w:val="210"/>
  </w:num>
  <w:num w:numId="262">
    <w:abstractNumId w:val="204"/>
  </w:num>
  <w:num w:numId="264">
    <w:abstractNumId w:val="198"/>
  </w:num>
  <w:num w:numId="266">
    <w:abstractNumId w:val="192"/>
  </w:num>
  <w:num w:numId="268">
    <w:abstractNumId w:val="186"/>
  </w:num>
  <w:num w:numId="270">
    <w:abstractNumId w:val="180"/>
  </w:num>
  <w:num w:numId="273">
    <w:abstractNumId w:val="174"/>
  </w:num>
  <w:num w:numId="275">
    <w:abstractNumId w:val="168"/>
  </w:num>
  <w:num w:numId="277">
    <w:abstractNumId w:val="162"/>
  </w:num>
  <w:num w:numId="279">
    <w:abstractNumId w:val="156"/>
  </w:num>
  <w:num w:numId="281">
    <w:abstractNumId w:val="150"/>
  </w:num>
  <w:num w:numId="284">
    <w:abstractNumId w:val="144"/>
  </w:num>
  <w:num w:numId="286">
    <w:abstractNumId w:val="138"/>
  </w:num>
  <w:num w:numId="288">
    <w:abstractNumId w:val="132"/>
  </w:num>
  <w:num w:numId="291">
    <w:abstractNumId w:val="126"/>
  </w:num>
  <w:num w:numId="294">
    <w:abstractNumId w:val="120"/>
  </w:num>
  <w:num w:numId="296">
    <w:abstractNumId w:val="114"/>
  </w:num>
  <w:num w:numId="298">
    <w:abstractNumId w:val="108"/>
  </w:num>
  <w:num w:numId="301">
    <w:abstractNumId w:val="102"/>
  </w:num>
  <w:num w:numId="306">
    <w:abstractNumId w:val="96"/>
  </w:num>
  <w:num w:numId="309">
    <w:abstractNumId w:val="90"/>
  </w:num>
  <w:num w:numId="311">
    <w:abstractNumId w:val="84"/>
  </w:num>
  <w:num w:numId="313">
    <w:abstractNumId w:val="78"/>
  </w:num>
  <w:num w:numId="314">
    <w:abstractNumId w:val="115"/>
  </w:num>
  <w:num w:numId="316">
    <w:abstractNumId w:val="109"/>
  </w:num>
  <w:num w:numId="317">
    <w:abstractNumId w:val="72"/>
  </w:num>
  <w:num w:numId="323">
    <w:abstractNumId w:val="66"/>
  </w:num>
  <w:num w:numId="329">
    <w:abstractNumId w:val="60"/>
  </w:num>
  <w:num w:numId="334">
    <w:abstractNumId w:val="54"/>
  </w:num>
  <w:num w:numId="337">
    <w:abstractNumId w:val="48"/>
  </w:num>
  <w:num w:numId="341">
    <w:abstractNumId w:val="42"/>
  </w:num>
  <w:num w:numId="345">
    <w:abstractNumId w:val="103"/>
  </w:num>
  <w:num w:numId="347">
    <w:abstractNumId w:val="97"/>
  </w:num>
  <w:num w:numId="350">
    <w:abstractNumId w:val="36"/>
  </w:num>
  <w:num w:numId="352">
    <w:abstractNumId w:val="30"/>
  </w:num>
  <w:num w:numId="356">
    <w:abstractNumId w:val="24"/>
  </w:num>
  <w:num w:numId="359">
    <w:abstractNumId w:val="91"/>
  </w:num>
  <w:num w:numId="363">
    <w:abstractNumId w:val="85"/>
  </w:num>
  <w:num w:numId="365">
    <w:abstractNumId w:val="79"/>
  </w:num>
  <w:num w:numId="368">
    <w:abstractNumId w:val="73"/>
  </w:num>
  <w:num w:numId="370">
    <w:abstractNumId w:val="67"/>
  </w:num>
  <w:num w:numId="372">
    <w:abstractNumId w:val="61"/>
  </w:num>
  <w:num w:numId="374">
    <w:abstractNumId w:val="55"/>
  </w:num>
  <w:num w:numId="376">
    <w:abstractNumId w:val="49"/>
  </w:num>
  <w:num w:numId="378">
    <w:abstractNumId w:val="43"/>
  </w:num>
  <w:num w:numId="383">
    <w:abstractNumId w:val="37"/>
  </w:num>
  <w:num w:numId="388">
    <w:abstractNumId w:val="18"/>
  </w:num>
  <w:num w:numId="403">
    <w:abstractNumId w:val="12"/>
  </w:num>
  <w:num w:numId="419">
    <w:abstractNumId w:val="6"/>
  </w:num>
  <w:num w:numId="428">
    <w:abstractNumId w:val="0"/>
  </w:num>
  <w:num w:numId="447">
    <w:abstractNumId w:val="31"/>
  </w:num>
  <w:num w:numId="449">
    <w:abstractNumId w:val="25"/>
  </w:num>
  <w:num w:numId="459">
    <w:abstractNumId w:val="19"/>
  </w:num>
  <w:num w:numId="466">
    <w:abstractNumId w:val="13"/>
  </w:num>
  <w:num w:numId="473">
    <w:abstractNumId w:val="7"/>
  </w:num>
  <w:num w:numId="498">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