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AD304K3 -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Ақтөбе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AD304K3 -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Ақтөбе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