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АНПЗ</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ЖШС АИ-92 бензині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Те</w:t>
      </w:r>
      <w:r>
        <w:rPr>
          <w:rFonts w:ascii="Times New Roman" w:hAnsi="Times New Roman" w:cs="Times New Roman" w:eastAsia="Times New Roman"/>
          <w:b/>
          <w:color w:val="000000"/>
          <w:spacing w:val="0"/>
          <w:position w:val="0"/>
          <w:sz w:val="24"/>
          <w:shd w:fill="auto" w:val="clear"/>
        </w:rPr>
        <w:t xml:space="preserve">ңдік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станциясы, теміржол к</w:t>
      </w:r>
      <w:r>
        <w:rPr>
          <w:rFonts w:ascii="Times New Roman" w:hAnsi="Times New Roman" w:cs="Times New Roman" w:eastAsia="Times New Roman"/>
          <w:b/>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АИ-92 бензиніне арнал</w:t>
            </w:r>
            <w:r>
              <w:rPr>
                <w:rFonts w:ascii="Times New Roman" w:hAnsi="Times New Roman" w:cs="Times New Roman" w:eastAsia="Times New Roman"/>
                <w:color w:val="000000"/>
                <w:spacing w:val="0"/>
                <w:position w:val="0"/>
                <w:sz w:val="24"/>
                <w:shd w:fill="auto" w:val="clear"/>
              </w:rPr>
              <w:t xml:space="preserve">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АИ-92 бензиніні</w:t>
            </w:r>
            <w:r>
              <w:rPr>
                <w:rFonts w:ascii="Times New Roman" w:hAnsi="Times New Roman" w:cs="Times New Roman" w:eastAsia="Times New Roman"/>
                <w:color w:val="000000"/>
                <w:spacing w:val="0"/>
                <w:position w:val="0"/>
                <w:sz w:val="24"/>
                <w:shd w:fill="auto" w:val="clear"/>
              </w:rPr>
              <w:t xml:space="preserve">ң сапа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(зерттеу </w:t>
                  </w:r>
                  <w:r>
                    <w:rPr>
                      <w:rFonts w:ascii="Times New Roman" w:hAnsi="Times New Roman" w:cs="Times New Roman" w:eastAsia="Times New Roman"/>
                      <w:color w:val="000000"/>
                      <w:spacing w:val="0"/>
                      <w:position w:val="0"/>
                      <w:sz w:val="24"/>
                      <w:shd w:fill="auto" w:val="clear"/>
                    </w:rPr>
                    <w:t xml:space="preserve">әдісі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92,8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(моторлы</w:t>
                  </w:r>
                  <w:r>
                    <w:rPr>
                      <w:rFonts w:ascii="Times New Roman" w:hAnsi="Times New Roman" w:cs="Times New Roman" w:eastAsia="Times New Roman"/>
                      <w:color w:val="000000"/>
                      <w:spacing w:val="0"/>
                      <w:position w:val="0"/>
                      <w:sz w:val="24"/>
                      <w:shd w:fill="auto" w:val="clear"/>
                    </w:rPr>
                    <w:t xml:space="preserve">қ әдіс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84,6</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Бензиндегі </w:t>
                  </w:r>
                  <w:r>
                    <w:rPr>
                      <w:rFonts w:ascii="Times New Roman" w:hAnsi="Times New Roman" w:cs="Times New Roman" w:eastAsia="Times New Roman"/>
                      <w:color w:val="000000"/>
                      <w:spacing w:val="0"/>
                      <w:position w:val="0"/>
                      <w:sz w:val="24"/>
                      <w:shd w:fill="auto" w:val="clear"/>
                    </w:rPr>
                    <w:t xml:space="preserve">қорғасынның массалық концентрациясы, г/дм3</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жо</w:t>
                  </w:r>
                  <w:r>
                    <w:rPr>
                      <w:rFonts w:ascii="Times New Roman" w:hAnsi="Times New Roman" w:cs="Times New Roman" w:eastAsia="Times New Roman"/>
                      <w:color w:val="000000"/>
                      <w:spacing w:val="0"/>
                      <w:position w:val="0"/>
                      <w:sz w:val="24"/>
                      <w:shd w:fill="auto" w:val="clear"/>
                    </w:rPr>
                    <w:t xml:space="preserve">қ</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Фракциялы</w:t>
                  </w:r>
                  <w:r>
                    <w:rPr>
                      <w:rFonts w:ascii="Times New Roman" w:hAnsi="Times New Roman" w:cs="Times New Roman" w:eastAsia="Times New Roman"/>
                      <w:color w:val="000000"/>
                      <w:spacing w:val="0"/>
                      <w:position w:val="0"/>
                      <w:sz w:val="24"/>
                      <w:shd w:fill="auto" w:val="clear"/>
                    </w:rPr>
                    <w:t xml:space="preserve">қ құрамы, </w:t>
                  </w:r>
                  <w:r>
                    <w:rPr>
                      <w:rFonts w:ascii="Times New Roman" w:hAnsi="Times New Roman" w:cs="Times New Roman" w:eastAsia="Times New Roman"/>
                      <w:color w:val="000000"/>
                      <w:spacing w:val="0"/>
                      <w:position w:val="0"/>
                      <w:sz w:val="24"/>
                      <w:shd w:fill="auto" w:val="clear"/>
                    </w:rPr>
                    <w:t xml:space="preserve">°C </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90%</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69</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Қаныққан бу қысымы, кПа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85,6</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Бензинні</w:t>
                  </w:r>
                  <w:r>
                    <w:rPr>
                      <w:rFonts w:ascii="Times New Roman" w:hAnsi="Times New Roman" w:cs="Times New Roman" w:eastAsia="Times New Roman"/>
                      <w:color w:val="000000"/>
                      <w:spacing w:val="0"/>
                      <w:position w:val="0"/>
                      <w:sz w:val="24"/>
                      <w:shd w:fill="auto" w:val="clear"/>
                    </w:rPr>
                    <w:t xml:space="preserve">ң индукциялық кезеңі, мин</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более 600</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Қалған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белгіленген нормалар шегінде ТУ 38.001165-2014 для поставляемого бензина АИ-92</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қосылу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сатып алушыдан ақшалай қаражаттың түскені туралы хабарлаған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сатып алушыға тауар жөнелтілгенін, барлық міндеттемелердің орындалғанын, тауардың төленгенін және биржалық қамтамасыз етуді бұғаттан босату туралы растайтын құжаттармен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(БҚ) бұғаттан босатқан күні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D3DE1EA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АИ-92 бензині; </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w:t>
      </w:r>
      <w:r>
        <w:rPr>
          <w:rFonts w:ascii="Times New Roman" w:hAnsi="Times New Roman" w:cs="Times New Roman" w:eastAsia="Times New Roman"/>
          <w:color w:val="000000"/>
          <w:spacing w:val="0"/>
          <w:position w:val="0"/>
          <w:sz w:val="24"/>
          <w:shd w:fill="auto" w:val="clear"/>
        </w:rPr>
        <w:t xml:space="preserve">ңдік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болжамды м</w:t>
      </w:r>
      <w:r>
        <w:rPr>
          <w:rFonts w:ascii="Times New Roman" w:hAnsi="Times New Roman" w:cs="Times New Roman" w:eastAsia="Times New Roman"/>
          <w:color w:val="000000"/>
          <w:spacing w:val="0"/>
          <w:position w:val="0"/>
          <w:sz w:val="24"/>
          <w:shd w:fill="auto" w:val="clear"/>
        </w:rPr>
        <w:t xml:space="preserve">әміле (өтінім) сомасының 15 % (он бес пайызы);</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бір сауда лотына +/- 15 (он бес) метрлік тонна;</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Тауармен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 нысанына сәйкес ресімделуге тиіс. Осы шарт нысаныит базовые условия поставки тауардың, которые могут быть при необходимости дополнены сторонами в итоговом договоре, подписываемом сторонами;</w:t>
      </w:r>
    </w:p>
    <w:p>
      <w:pPr>
        <w:widowControl w:val="false"/>
        <w:numPr>
          <w:ilvl w:val="0"/>
          <w:numId w:val="7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Настоящая Ерекшелік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pPr>
        <w:widowControl w:val="false"/>
        <w:numPr>
          <w:ilvl w:val="0"/>
          <w:numId w:val="70"/>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Клирингтік орталы</w:t>
            </w:r>
            <w:r>
              <w:rPr>
                <w:rFonts w:ascii="Times New Roman" w:hAnsi="Times New Roman" w:cs="Times New Roman" w:eastAsia="Times New Roman"/>
                <w:color w:val="000000"/>
                <w:spacing w:val="0"/>
                <w:position w:val="0"/>
                <w:sz w:val="24"/>
                <w:shd w:fill="auto" w:val="clear"/>
              </w:rPr>
              <w:t xml:space="preserve">қтың үлгілік шартына</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не позднее 3 рабочих дней с даты заключения биржевой сделки направляют в Клирингтік орталы</w:t>
      </w:r>
      <w:r>
        <w:rPr>
          <w:rFonts w:ascii="Times New Roman" w:hAnsi="Times New Roman" w:cs="Times New Roman" w:eastAsia="Times New Roman"/>
          <w:color w:val="000000"/>
          <w:spacing w:val="0"/>
          <w:position w:val="0"/>
          <w:sz w:val="24"/>
          <w:shd w:fill="auto" w:val="clear"/>
        </w:rPr>
        <w:t xml:space="preserve">қ подписанное заявление о присоединении к типовому договору о клиринговом обслуживании расчетов по биржевым сделкам;  </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жасасады;</w:t>
      </w:r>
    </w:p>
    <w:p>
      <w:pPr>
        <w:widowControl w:val="false"/>
        <w:numPr>
          <w:ilvl w:val="0"/>
          <w:numId w:val="8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жолдайды.</w:t>
      </w:r>
    </w:p>
    <w:p>
      <w:pPr>
        <w:widowControl w:val="false"/>
        <w:numPr>
          <w:ilvl w:val="0"/>
          <w:numId w:val="81"/>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тауардың Покупателю, об исполнении всех обязательств, о разблокировке биржевого обеспечения</w:t>
            </w:r>
          </w:p>
        </w:tc>
      </w:tr>
    </w:tbl>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4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не позднее 1 рабочего дня после дня получения 100% от суммы сделки на основании подписанного с двух сторон договора поставки перечисляет сумму за тауар на счет продавца;</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Клирингтік орталы</w:t>
      </w:r>
      <w:r>
        <w:rPr>
          <w:rFonts w:ascii="Times New Roman" w:hAnsi="Times New Roman" w:cs="Times New Roman" w:eastAsia="Times New Roman"/>
          <w:color w:val="000000"/>
          <w:spacing w:val="0"/>
          <w:position w:val="0"/>
          <w:sz w:val="24"/>
          <w:shd w:fill="auto" w:val="clear"/>
        </w:rPr>
        <w:t xml:space="preserve">қ ақшалай қаражатты аударған күннен бастап 30 күнтізбелік күннен кешіктірмей тауарды Ерекшеліктің талаптарына сәйкес жөнелтеді;</w:t>
      </w:r>
    </w:p>
    <w:p>
      <w:pPr>
        <w:widowControl w:val="false"/>
        <w:numPr>
          <w:ilvl w:val="0"/>
          <w:numId w:val="9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3"/>
        </w:numPr>
        <w:tabs>
          <w:tab w:val="left" w:pos="284" w:leader="none"/>
        </w:tabs>
        <w:suppressAutoHyphens w:val="true"/>
        <w:spacing w:before="0" w:after="0" w:line="24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 разблокировки биржевого обеспечения по биржевой сделке;</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жеткізуді/ж</w:t>
      </w:r>
      <w:r>
        <w:rPr>
          <w:rFonts w:ascii="Times New Roman" w:hAnsi="Times New Roman" w:cs="Times New Roman" w:eastAsia="Times New Roman"/>
          <w:color w:val="000000"/>
          <w:spacing w:val="0"/>
          <w:position w:val="0"/>
          <w:sz w:val="24"/>
          <w:shd w:fill="auto" w:val="clear"/>
        </w:rPr>
        <w:t xml:space="preserve">өнелтуді растайтын барлық құжаттарды қоса бере отырып:</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сатушы тарапынан </w:t>
      </w:r>
      <w:r>
        <w:rPr>
          <w:rFonts w:ascii="Times New Roman" w:hAnsi="Times New Roman" w:cs="Times New Roman" w:eastAsia="Times New Roman"/>
          <w:color w:val="000000"/>
          <w:spacing w:val="0"/>
          <w:position w:val="0"/>
          <w:sz w:val="24"/>
          <w:shd w:fill="auto" w:val="clear"/>
        </w:rPr>
        <w:t xml:space="preserve">қол қойылған тауарға ілеспе жүкқұжат).</w:t>
      </w:r>
    </w:p>
    <w:p>
      <w:pPr>
        <w:widowControl w:val="false"/>
        <w:numPr>
          <w:ilvl w:val="0"/>
          <w:numId w:val="9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после поставки/отгрузки тауарды</w:t>
      </w:r>
      <w:r>
        <w:rPr>
          <w:rFonts w:ascii="Times New Roman" w:hAnsi="Times New Roman" w:cs="Times New Roman" w:eastAsia="Times New Roman"/>
          <w:color w:val="000000"/>
          <w:spacing w:val="0"/>
          <w:position w:val="0"/>
          <w:sz w:val="24"/>
          <w:shd w:fill="auto" w:val="clear"/>
        </w:rPr>
        <w:t xml:space="preserve">ң предоставляет в Клирингтік орталық письмо:</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10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производит разблокировку и возврат биржевого обеспечения в соответствии с Правилами клиринга, после 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pPr>
        <w:widowControl w:val="false"/>
        <w:numPr>
          <w:ilvl w:val="0"/>
          <w:numId w:val="10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p>
    <w:p>
      <w:pPr>
        <w:widowControl w:val="false"/>
        <w:numPr>
          <w:ilvl w:val="0"/>
          <w:numId w:val="10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10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с изменениями и дополнениями вступает в силу со дня опубликования ее на интернет-ресурсе Биржи.</w:t>
      </w:r>
    </w:p>
    <w:p>
      <w:pPr>
        <w:widowControl w:val="false"/>
        <w:numPr>
          <w:ilvl w:val="0"/>
          <w:numId w:val="10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tab/>
      </w:r>
      <w:r>
        <w:rPr>
          <w:rFonts w:ascii="Times New Roman" w:hAnsi="Times New Roman" w:cs="Times New Roman" w:eastAsia="Times New Roman"/>
          <w:b/>
          <w:color w:val="000000"/>
          <w:spacing w:val="0"/>
          <w:position w:val="0"/>
          <w:sz w:val="24"/>
          <w:shd w:fill="auto" w:val="clear"/>
        </w:rPr>
        <w:t xml:space="preserve">Прочие условия</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және оларды орындауға міндеттенеді.ь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88"/>
        <w:gridCol w:w="5132"/>
        <w:gridCol w:w="309"/>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B2-___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w:t>
            </w:r>
            <w:r>
              <w:rPr>
                <w:rFonts w:ascii="Times New Roman" w:hAnsi="Times New Roman" w:cs="Times New Roman" w:eastAsia="Times New Roman"/>
                <w:b/>
                <w:color w:val="000000"/>
                <w:spacing w:val="0"/>
                <w:position w:val="0"/>
                <w:sz w:val="24"/>
                <w:shd w:fill="auto" w:val="clear"/>
              </w:rPr>
              <w:t xml:space="preserve">2026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 действующего на основании Устава,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заключили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spacing w:val="0"/>
                <w:position w:val="0"/>
                <w:sz w:val="24"/>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 </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w:t>
            </w:r>
            <w:r>
              <w:rPr>
                <w:rFonts w:ascii="Times New Roman" w:hAnsi="Times New Roman" w:cs="Times New Roman" w:eastAsia="Times New Roman"/>
                <w:b/>
                <w:color w:val="000000"/>
                <w:spacing w:val="0"/>
                <w:position w:val="0"/>
                <w:sz w:val="24"/>
                <w:shd w:fill="auto" w:val="clear"/>
              </w:rPr>
              <w:t xml:space="preserve">2026 ж.</w:t>
            </w: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both"/>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3"/>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Атырауский нефтеперерабатывающий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8"/>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38"/>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38"/>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 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2"/>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 м</w:t>
            </w:r>
            <w:r>
              <w:rPr>
                <w:rFonts w:ascii="Times New Roman" w:hAnsi="Times New Roman" w:cs="Times New Roman" w:eastAsia="Times New Roman"/>
                <w:color w:val="auto"/>
                <w:spacing w:val="0"/>
                <w:position w:val="0"/>
                <w:sz w:val="24"/>
                <w:shd w:fill="auto" w:val="clear"/>
              </w:rPr>
              <w:t xml:space="preserve">ұнай өңдеу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6"/>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4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4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4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6"/>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56"/>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numPr>
                <w:ilvl w:val="0"/>
                <w:numId w:val="166"/>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numPr>
                <w:ilvl w:val="0"/>
                <w:numId w:val="166"/>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numPr>
                <w:ilvl w:val="0"/>
                <w:numId w:val="166"/>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w:t>
            </w:r>
            <w:r>
              <w:rPr>
                <w:rFonts w:ascii="Times New Roman" w:hAnsi="Times New Roman" w:cs="Times New Roman" w:eastAsia="Times New Roman"/>
                <w:color w:val="000000"/>
                <w:spacing w:val="0"/>
                <w:position w:val="0"/>
                <w:sz w:val="24"/>
                <w:shd w:fill="auto" w:val="clear"/>
              </w:rPr>
              <w:t xml:space="preserve">завершения</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166"/>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прекращает действие в любом из следующих случаев:</w:t>
            </w:r>
          </w:p>
          <w:p>
            <w:pPr>
              <w:widowControl w:val="false"/>
              <w:numPr>
                <w:ilvl w:val="0"/>
                <w:numId w:val="16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п.3.4 Договора;</w:t>
            </w:r>
          </w:p>
          <w:p>
            <w:pPr>
              <w:widowControl w:val="false"/>
              <w:numPr>
                <w:ilvl w:val="0"/>
                <w:numId w:val="16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6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6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66"/>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numPr>
                <w:ilvl w:val="0"/>
                <w:numId w:val="166"/>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0" w:firstLine="0"/>
              <w:jc w:val="left"/>
              <w:rPr>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1"/>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71"/>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w:t>
            </w:r>
            <w:r>
              <w:rPr>
                <w:rFonts w:ascii="Times New Roman" w:hAnsi="Times New Roman" w:cs="Times New Roman" w:eastAsia="Times New Roman"/>
                <w:color w:val="202124"/>
                <w:spacing w:val="0"/>
                <w:position w:val="0"/>
                <w:sz w:val="24"/>
                <w:shd w:fill="auto" w:val="clear"/>
              </w:rPr>
              <w:t xml:space="preserve">Жеткізу жоспары шеңберіндегі айырбастау операциялары туралы есептерге (есептерге) </w:t>
            </w:r>
            <w:r>
              <w:rPr>
                <w:rFonts w:ascii="Times New Roman" w:hAnsi="Times New Roman" w:cs="Times New Roman" w:eastAsia="Times New Roman"/>
                <w:color w:val="auto"/>
                <w:spacing w:val="0"/>
                <w:position w:val="0"/>
                <w:sz w:val="24"/>
                <w:shd w:fill="auto" w:val="clear"/>
              </w:rPr>
              <w:t xml:space="preserve">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4"/>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6"/>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76"/>
              </w:numPr>
              <w:tabs>
                <w:tab w:val="left" w:pos="0" w:leader="none"/>
              </w:tabs>
              <w:suppressAutoHyphens w:val="true"/>
              <w:spacing w:before="0" w:after="0" w:line="240"/>
              <w:ind w:right="0" w:left="568"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w:t>
            </w:r>
          </w:p>
          <w:p>
            <w:pPr>
              <w:widowControl w:val="false"/>
              <w:numPr>
                <w:ilvl w:val="0"/>
                <w:numId w:val="176"/>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tabs>
                <w:tab w:val="left" w:pos="708" w:leader="none"/>
                <w:tab w:val="left" w:pos="35"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0"/>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80"/>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3"/>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8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88"/>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r>
              <w:rPr>
                <w:rFonts w:ascii="Times New Roman" w:hAnsi="Times New Roman" w:cs="Times New Roman" w:eastAsia="Times New Roman"/>
                <w:color w:val="FF0000"/>
                <w:spacing w:val="0"/>
                <w:position w:val="0"/>
                <w:sz w:val="24"/>
                <w:shd w:fill="auto" w:val="clear"/>
              </w:rPr>
              <w:t xml:space="preserve">.</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2"/>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w:t>
            </w:r>
            <w:r>
              <w:rPr>
                <w:rFonts w:ascii="Times New Roman" w:hAnsi="Times New Roman" w:cs="Times New Roman" w:eastAsia="Times New Roman"/>
                <w:color w:val="000000"/>
                <w:spacing w:val="0"/>
                <w:position w:val="0"/>
                <w:sz w:val="24"/>
                <w:shd w:fill="auto" w:val="clear"/>
              </w:rPr>
              <w:t xml:space="preserve">в заявке на отгрузку</w:t>
            </w:r>
            <w:r>
              <w:rPr>
                <w:rFonts w:ascii="Times New Roman" w:hAnsi="Times New Roman" w:cs="Times New Roman" w:eastAsia="Times New Roman"/>
                <w:color w:val="auto"/>
                <w:spacing w:val="0"/>
                <w:position w:val="0"/>
                <w:sz w:val="24"/>
                <w:shd w:fill="auto" w:val="clear"/>
              </w:rPr>
              <w:t xml:space="preserve">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pPr>
              <w:widowControl w:val="false"/>
              <w:spacing w:before="0" w:after="0" w:line="240"/>
              <w:ind w:right="0" w:left="499" w:hanging="4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24" w:hanging="4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283" w:hanging="32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4"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2"/>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2"/>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360"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военизированную охрану и сопровождение Товара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законодательством Республики Казахстан,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организуют Грузоотправитель либо Продавец</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перечисляет 100 % предоплату за услуги охраны на банковский счёт Продавца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4 (четырёх) рабочих дней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даты соответствующего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60" w:hanging="467"/>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09"/>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09"/>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3"/>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21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вагоноцистернах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18"/>
              </w:numPr>
              <w:tabs>
                <w:tab w:val="left" w:pos="708"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numPr>
                <w:ilvl w:val="0"/>
                <w:numId w:val="220"/>
              </w:numPr>
              <w:tabs>
                <w:tab w:val="left" w:pos="708" w:leader="none"/>
                <w:tab w:val="left" w:pos="460"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504" w:firstLine="6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spacing w:before="0" w:after="0" w:line="240"/>
              <w:ind w:right="0" w:left="504" w:firstLine="64"/>
              <w:jc w:val="both"/>
              <w:rPr>
                <w:rFonts w:ascii="Times New Roman" w:hAnsi="Times New Roman" w:cs="Times New Roman" w:eastAsia="Times New Roman"/>
                <w:color w:val="000000"/>
                <w:spacing w:val="0"/>
                <w:position w:val="0"/>
                <w:sz w:val="24"/>
                <w:shd w:fill="auto" w:val="clear"/>
              </w:rPr>
            </w:pPr>
          </w:p>
          <w:p>
            <w:pPr>
              <w:widowControl w:val="false"/>
              <w:numPr>
                <w:ilvl w:val="0"/>
                <w:numId w:val="222"/>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22"/>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2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тасымалдауды Сатып алушы растайтын </w:t>
            </w:r>
            <w:r>
              <w:rPr>
                <w:rFonts w:ascii="Times New Roman" w:hAnsi="Times New Roman" w:cs="Times New Roman" w:eastAsia="Times New Roman"/>
                <w:color w:val="auto"/>
                <w:spacing w:val="0"/>
                <w:position w:val="0"/>
                <w:sz w:val="24"/>
                <w:shd w:fill="auto" w:val="clear"/>
              </w:rPr>
              <w:t xml:space="preserve">құжаттардың қоса тіркелуімен вагон операторының қызметтерін тарту және жөнелтуге өтінімде тіркелетін темір жол тарифін (теміржол тарифтерін төлеу туралы жеделхат пен теміржол жүкқұжаттарын толтыру жөніндегі нұсқаулықты бере отырып) төлеу арқылы дербес ұйымдастыруы тиіс.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26"/>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26"/>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26"/>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tabs>
                <w:tab w:val="left" w:pos="708" w:leader="none"/>
                <w:tab w:val="left" w:pos="203" w:leader="none"/>
                <w:tab w:val="left" w:pos="885" w:leader="none"/>
              </w:tabs>
              <w:suppressAutoHyphens w:val="true"/>
              <w:spacing w:before="0" w:after="0" w:line="240"/>
              <w:ind w:right="0" w:left="568"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numPr>
                <w:ilvl w:val="0"/>
                <w:numId w:val="229"/>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вагон-цистерналар</w:t>
            </w:r>
            <w:r>
              <w:rPr>
                <w:rFonts w:ascii="Times New Roman" w:hAnsi="Times New Roman" w:cs="Times New Roman" w:eastAsia="Times New Roman"/>
                <w:color w:val="auto"/>
                <w:spacing w:val="0"/>
                <w:position w:val="0"/>
                <w:sz w:val="24"/>
                <w:shd w:fill="auto" w:val="clear"/>
              </w:rPr>
              <w:t xml:space="preserve">ға Бумен Жуу-буландыру бекетінде мұнай өнімдерін жүктеуге дайындау аясындағы барлық мәселелерді өз бетімен шешіп отырады.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Сатушы жіберілетін Тауардың сапасына жауап бермейді. Вагон-цистерналардың калибрлеу таңбасы және аралық бойынша калибрлеу кестесі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1"/>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33"/>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Егер </w:t>
            </w:r>
            <w:r>
              <w:rPr>
                <w:rFonts w:ascii="Times New Roman" w:hAnsi="Times New Roman" w:cs="Times New Roman" w:eastAsia="Times New Roman"/>
                <w:color w:val="000000"/>
                <w:spacing w:val="0"/>
                <w:position w:val="0"/>
                <w:sz w:val="24"/>
                <w:u w:val="single"/>
                <w:shd w:fill="auto" w:val="clear"/>
              </w:rPr>
              <w:t xml:space="preserve">Қазақстан Республикасының заңнамасында көзделген Әскерилендірілген күзет пен тауарды сүйемелдеуді жүк жөнелтуші не сатушы ұйымдастырса, Сатып алушы күзет қызметтері үшін алдын ала төлемді тиісті Қосымша келісім жасалған күннен бастап 4 (төрт) жұмыс күні ішінде Сатушының банктік шотына 100% аударады.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widowControl w:val="false"/>
              <w:numPr>
                <w:ilvl w:val="0"/>
                <w:numId w:val="235"/>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37"/>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37"/>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0"/>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0"/>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4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numPr>
                <w:ilvl w:val="0"/>
                <w:numId w:val="24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6"/>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4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numPr>
                <w:ilvl w:val="0"/>
                <w:numId w:val="24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0"/>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50"/>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5"/>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257"/>
              </w:numPr>
              <w:tabs>
                <w:tab w:val="left" w:pos="0" w:leader="none"/>
              </w:tabs>
              <w:suppressAutoHyphens w:val="true"/>
              <w:spacing w:before="6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numPr>
                <w:ilvl w:val="0"/>
                <w:numId w:val="257"/>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0000FF"/>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numPr>
                <w:ilvl w:val="0"/>
                <w:numId w:val="257"/>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0" w:firstLine="0"/>
              <w:jc w:val="left"/>
              <w:rPr>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62"/>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62"/>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 </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7"/>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9"/>
              </w:numPr>
              <w:tabs>
                <w:tab w:val="left" w:pos="0" w:leader="none"/>
              </w:tabs>
              <w:suppressAutoHyphens w:val="true"/>
              <w:spacing w:before="60" w:after="0" w:line="240"/>
              <w:ind w:right="0" w:left="426"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тиісті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numPr>
                <w:ilvl w:val="0"/>
                <w:numId w:val="26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numPr>
                <w:ilvl w:val="0"/>
                <w:numId w:val="26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6"/>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7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7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7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4.6.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numPr>
                <w:ilvl w:val="0"/>
                <w:numId w:val="27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7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numPr>
                <w:ilvl w:val="0"/>
                <w:numId w:val="28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numPr>
                <w:ilvl w:val="0"/>
                <w:numId w:val="28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87"/>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8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4.6.-тармағының ережелеріне сәйкес өтеді.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0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5"/>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numPr>
                <w:ilvl w:val="0"/>
                <w:numId w:val="305"/>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numPr>
                <w:ilvl w:val="0"/>
                <w:numId w:val="31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315"/>
              </w:numPr>
              <w:tabs>
                <w:tab w:val="left" w:pos="0" w:leader="none"/>
              </w:tabs>
              <w:suppressAutoHyphens w:val="true"/>
              <w:spacing w:before="0" w:after="160" w:line="240"/>
              <w:ind w:right="97"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18"/>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numPr>
                <w:ilvl w:val="0"/>
                <w:numId w:val="318"/>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или)  Покупателя</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вопросам, связанным с Продавцом</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Pr>
                <w:rFonts w:ascii="Times New Roman" w:hAnsi="Times New Roman" w:cs="Times New Roman" w:eastAsia="Times New Roman"/>
                <w:i/>
                <w:color w:val="auto"/>
                <w:spacing w:val="0"/>
                <w:position w:val="0"/>
                <w:sz w:val="24"/>
                <w:shd w:fill="auto" w:val="clear"/>
              </w:rPr>
              <w:t xml:space="preserve">Компанией] и/или [Контрагентом], </w:t>
            </w:r>
            <w:r>
              <w:rPr>
                <w:rFonts w:ascii="Times New Roman" w:hAnsi="Times New Roman" w:cs="Times New Roman" w:eastAsia="Times New Roman"/>
                <w:color w:val="auto"/>
                <w:spacing w:val="0"/>
                <w:position w:val="0"/>
                <w:sz w:val="24"/>
                <w:shd w:fill="auto" w:val="clear"/>
              </w:rPr>
              <w:t xml:space="preserve">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23"/>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numPr>
                <w:ilvl w:val="0"/>
                <w:numId w:val="323"/>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26"/>
              </w:numPr>
              <w:tabs>
                <w:tab w:val="left" w:pos="708" w:leader="none"/>
                <w:tab w:val="left" w:pos="210" w:leader="none"/>
              </w:tabs>
              <w:suppressAutoHyphens w:val="true"/>
              <w:spacing w:before="0" w:after="0" w:line="240"/>
              <w:ind w:right="0" w:left="494" w:hanging="425"/>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p>
          <w:p>
            <w:pPr>
              <w:widowControl w:val="false"/>
              <w:numPr>
                <w:ilvl w:val="0"/>
                <w:numId w:val="328"/>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28"/>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0"/>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31"/>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33"/>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3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w:t>
            </w:r>
            <w:r>
              <w:rPr>
                <w:rFonts w:ascii="Times New Roman" w:hAnsi="Times New Roman" w:cs="Times New Roman" w:eastAsia="Times New Roman"/>
                <w:i/>
                <w:color w:val="auto"/>
                <w:spacing w:val="0"/>
                <w:position w:val="0"/>
                <w:sz w:val="24"/>
                <w:shd w:fill="auto" w:val="clear"/>
              </w:rPr>
              <w:t xml:space="preserve">[Компанияның]</w:t>
            </w:r>
            <w:r>
              <w:rPr>
                <w:rFonts w:ascii="Times New Roman" w:hAnsi="Times New Roman" w:cs="Times New Roman" w:eastAsia="Times New Roman"/>
                <w:color w:val="auto"/>
                <w:spacing w:val="0"/>
                <w:position w:val="0"/>
                <w:sz w:val="24"/>
                <w:shd w:fill="auto" w:val="clear"/>
              </w:rPr>
              <w:t xml:space="preserve"> және/немесе </w:t>
            </w:r>
            <w:r>
              <w:rPr>
                <w:rFonts w:ascii="Times New Roman" w:hAnsi="Times New Roman" w:cs="Times New Roman" w:eastAsia="Times New Roman"/>
                <w:i/>
                <w:color w:val="auto"/>
                <w:spacing w:val="0"/>
                <w:position w:val="0"/>
                <w:sz w:val="24"/>
                <w:shd w:fill="auto" w:val="clear"/>
              </w:rPr>
              <w:t xml:space="preserve">[Контрагенттің]</w:t>
            </w:r>
            <w:r>
              <w:rPr>
                <w:rFonts w:ascii="Times New Roman" w:hAnsi="Times New Roman" w:cs="Times New Roman" w:eastAsia="Times New Roman"/>
                <w:color w:val="auto"/>
                <w:spacing w:val="0"/>
                <w:position w:val="0"/>
                <w:sz w:val="24"/>
                <w:shd w:fill="auto" w:val="clear"/>
              </w:rPr>
              <w:t xml:space="preserve">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0"/>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40"/>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6" w:hanging="6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1"/>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51"/>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numPr>
                <w:ilvl w:val="0"/>
                <w:numId w:val="354"/>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8"/>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58"/>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numPr>
                <w:ilvl w:val="0"/>
                <w:numId w:val="35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numPr>
                <w:ilvl w:val="0"/>
                <w:numId w:val="35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8"/>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2"/>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4"/>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64"/>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7"/>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tabs>
                <w:tab w:val="left" w:pos="708" w:leader="none"/>
                <w:tab w:val="left" w:pos="802" w:leader="none"/>
              </w:tabs>
              <w:suppressAutoHyphens w:val="true"/>
              <w:spacing w:before="0" w:after="0" w:line="240"/>
              <w:ind w:right="0" w:left="598" w:hanging="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9"/>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numPr>
                <w:ilvl w:val="0"/>
                <w:numId w:val="369"/>
              </w:numPr>
              <w:tabs>
                <w:tab w:val="left" w:pos="0" w:leader="none"/>
              </w:tabs>
              <w:suppressAutoHyphens w:val="true"/>
              <w:spacing w:before="0" w:after="0" w:line="240"/>
              <w:ind w:right="0" w:left="567"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3"/>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6"/>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6"/>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6"/>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numPr>
                <w:ilvl w:val="0"/>
                <w:numId w:val="376"/>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2"/>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numPr>
                <w:ilvl w:val="0"/>
                <w:numId w:val="382"/>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2"/>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7"/>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7"/>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1"/>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1"/>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100" w:after="10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6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5"/>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0"/>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tabs>
                <w:tab w:val="left" w:pos="708" w:leader="none"/>
                <w:tab w:val="left" w:pos="74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p>
          <w:tbl>
            <w:tblPr>
              <w:tblInd w:w="132" w:type="dxa"/>
            </w:tblPr>
            <w:tblGrid>
              <w:gridCol w:w="2552"/>
              <w:gridCol w:w="2113"/>
            </w:tblGrid>
            <w:tr>
              <w:trPr>
                <w:trHeight w:val="1" w:hRule="atLeast"/>
                <w:jc w:val="left"/>
              </w:trPr>
              <w:tc>
                <w:tcPr>
                  <w:tcW w:w="25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45"/>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561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w:t>
            </w:r>
            <w:r>
              <w:rPr>
                <w:rFonts w:ascii="Times New Roman" w:hAnsi="Times New Roman" w:cs="Times New Roman" w:eastAsia="Times New Roman"/>
                <w:b/>
                <w:color w:val="000000"/>
                <w:spacing w:val="0"/>
                <w:position w:val="0"/>
                <w:sz w:val="24"/>
                <w:shd w:fill="auto" w:val="clear"/>
              </w:rPr>
              <w:t xml:space="preserve">2026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w:t>
            </w:r>
            <w:r>
              <w:rPr>
                <w:rFonts w:ascii="Times New Roman" w:hAnsi="Times New Roman" w:cs="Times New Roman" w:eastAsia="Times New Roman"/>
                <w:b/>
                <w:color w:val="000000"/>
                <w:spacing w:val="0"/>
                <w:position w:val="0"/>
                <w:sz w:val="24"/>
                <w:shd w:fill="auto" w:val="clear"/>
              </w:rPr>
              <w:t xml:space="preserve">2026 г</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w:t>
            </w:r>
            <w:r>
              <w:rPr>
                <w:rFonts w:ascii="Times New Roman" w:hAnsi="Times New Roman" w:cs="Times New Roman" w:eastAsia="Times New Roman"/>
                <w:b/>
                <w:color w:val="000000"/>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63"/>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65"/>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75"/>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75"/>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75"/>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75"/>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82"/>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9"/>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w:t>
            </w:r>
            <w:r>
              <w:rPr>
                <w:rFonts w:ascii="Times New Roman" w:hAnsi="Times New Roman" w:cs="Times New Roman" w:eastAsia="Times New Roman"/>
                <w:b/>
                <w:color w:val="202124"/>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w:t>
            </w:r>
            <w:r>
              <w:rPr>
                <w:rFonts w:ascii="Times New Roman" w:hAnsi="Times New Roman" w:cs="Times New Roman" w:eastAsia="Times New Roman"/>
                <w:b/>
                <w:color w:val="202124"/>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202124"/>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202124"/>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Тендык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4"/>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num w:numId="7">
    <w:abstractNumId w:val="486"/>
  </w:num>
  <w:num w:numId="70">
    <w:abstractNumId w:val="480"/>
  </w:num>
  <w:num w:numId="81">
    <w:abstractNumId w:val="474"/>
  </w:num>
  <w:num w:numId="93">
    <w:abstractNumId w:val="468"/>
  </w:num>
  <w:num w:numId="103">
    <w:abstractNumId w:val="462"/>
  </w:num>
  <w:num w:numId="133">
    <w:abstractNumId w:val="456"/>
  </w:num>
  <w:num w:numId="136">
    <w:abstractNumId w:val="450"/>
  </w:num>
  <w:num w:numId="138">
    <w:abstractNumId w:val="444"/>
  </w:num>
  <w:num w:numId="142">
    <w:abstractNumId w:val="438"/>
  </w:num>
  <w:num w:numId="146">
    <w:abstractNumId w:val="432"/>
  </w:num>
  <w:num w:numId="149">
    <w:abstractNumId w:val="426"/>
  </w:num>
  <w:num w:numId="152">
    <w:abstractNumId w:val="420"/>
  </w:num>
  <w:num w:numId="154">
    <w:abstractNumId w:val="414"/>
  </w:num>
  <w:num w:numId="156">
    <w:abstractNumId w:val="408"/>
  </w:num>
  <w:num w:numId="159">
    <w:abstractNumId w:val="402"/>
  </w:num>
  <w:num w:numId="166">
    <w:abstractNumId w:val="396"/>
  </w:num>
  <w:num w:numId="171">
    <w:abstractNumId w:val="390"/>
  </w:num>
  <w:num w:numId="174">
    <w:abstractNumId w:val="384"/>
  </w:num>
  <w:num w:numId="176">
    <w:abstractNumId w:val="378"/>
  </w:num>
  <w:num w:numId="180">
    <w:abstractNumId w:val="372"/>
  </w:num>
  <w:num w:numId="183">
    <w:abstractNumId w:val="366"/>
  </w:num>
  <w:num w:numId="188">
    <w:abstractNumId w:val="360"/>
  </w:num>
  <w:num w:numId="192">
    <w:abstractNumId w:val="354"/>
  </w:num>
  <w:num w:numId="202">
    <w:abstractNumId w:val="348"/>
  </w:num>
  <w:num w:numId="209">
    <w:abstractNumId w:val="342"/>
  </w:num>
  <w:num w:numId="213">
    <w:abstractNumId w:val="336"/>
  </w:num>
  <w:num w:numId="215">
    <w:abstractNumId w:val="330"/>
  </w:num>
  <w:num w:numId="218">
    <w:abstractNumId w:val="324"/>
  </w:num>
  <w:num w:numId="220">
    <w:abstractNumId w:val="318"/>
  </w:num>
  <w:num w:numId="222">
    <w:abstractNumId w:val="312"/>
  </w:num>
  <w:num w:numId="224">
    <w:abstractNumId w:val="306"/>
  </w:num>
  <w:num w:numId="226">
    <w:abstractNumId w:val="300"/>
  </w:num>
  <w:num w:numId="229">
    <w:abstractNumId w:val="294"/>
  </w:num>
  <w:num w:numId="231">
    <w:abstractNumId w:val="288"/>
  </w:num>
  <w:num w:numId="233">
    <w:abstractNumId w:val="282"/>
  </w:num>
  <w:num w:numId="235">
    <w:abstractNumId w:val="276"/>
  </w:num>
  <w:num w:numId="237">
    <w:abstractNumId w:val="270"/>
  </w:num>
  <w:num w:numId="240">
    <w:abstractNumId w:val="264"/>
  </w:num>
  <w:num w:numId="243">
    <w:abstractNumId w:val="258"/>
  </w:num>
  <w:num w:numId="246">
    <w:abstractNumId w:val="252"/>
  </w:num>
  <w:num w:numId="250">
    <w:abstractNumId w:val="246"/>
  </w:num>
  <w:num w:numId="255">
    <w:abstractNumId w:val="240"/>
  </w:num>
  <w:num w:numId="257">
    <w:abstractNumId w:val="234"/>
  </w:num>
  <w:num w:numId="262">
    <w:abstractNumId w:val="228"/>
  </w:num>
  <w:num w:numId="267">
    <w:abstractNumId w:val="222"/>
  </w:num>
  <w:num w:numId="269">
    <w:abstractNumId w:val="216"/>
  </w:num>
  <w:num w:numId="276">
    <w:abstractNumId w:val="210"/>
  </w:num>
  <w:num w:numId="279">
    <w:abstractNumId w:val="204"/>
  </w:num>
  <w:num w:numId="281">
    <w:abstractNumId w:val="198"/>
  </w:num>
  <w:num w:numId="283">
    <w:abstractNumId w:val="192"/>
  </w:num>
  <w:num w:numId="285">
    <w:abstractNumId w:val="186"/>
  </w:num>
  <w:num w:numId="287">
    <w:abstractNumId w:val="180"/>
  </w:num>
  <w:num w:numId="290">
    <w:abstractNumId w:val="174"/>
  </w:num>
  <w:num w:numId="292">
    <w:abstractNumId w:val="168"/>
  </w:num>
  <w:num w:numId="294">
    <w:abstractNumId w:val="162"/>
  </w:num>
  <w:num w:numId="296">
    <w:abstractNumId w:val="156"/>
  </w:num>
  <w:num w:numId="298">
    <w:abstractNumId w:val="150"/>
  </w:num>
  <w:num w:numId="301">
    <w:abstractNumId w:val="144"/>
  </w:num>
  <w:num w:numId="303">
    <w:abstractNumId w:val="138"/>
  </w:num>
  <w:num w:numId="305">
    <w:abstractNumId w:val="132"/>
  </w:num>
  <w:num w:numId="308">
    <w:abstractNumId w:val="126"/>
  </w:num>
  <w:num w:numId="311">
    <w:abstractNumId w:val="120"/>
  </w:num>
  <w:num w:numId="313">
    <w:abstractNumId w:val="114"/>
  </w:num>
  <w:num w:numId="315">
    <w:abstractNumId w:val="108"/>
  </w:num>
  <w:num w:numId="318">
    <w:abstractNumId w:val="102"/>
  </w:num>
  <w:num w:numId="323">
    <w:abstractNumId w:val="96"/>
  </w:num>
  <w:num w:numId="326">
    <w:abstractNumId w:val="90"/>
  </w:num>
  <w:num w:numId="328">
    <w:abstractNumId w:val="84"/>
  </w:num>
  <w:num w:numId="330">
    <w:abstractNumId w:val="78"/>
  </w:num>
  <w:num w:numId="331">
    <w:abstractNumId w:val="115"/>
  </w:num>
  <w:num w:numId="333">
    <w:abstractNumId w:val="109"/>
  </w:num>
  <w:num w:numId="334">
    <w:abstractNumId w:val="72"/>
  </w:num>
  <w:num w:numId="340">
    <w:abstractNumId w:val="66"/>
  </w:num>
  <w:num w:numId="346">
    <w:abstractNumId w:val="60"/>
  </w:num>
  <w:num w:numId="351">
    <w:abstractNumId w:val="54"/>
  </w:num>
  <w:num w:numId="354">
    <w:abstractNumId w:val="48"/>
  </w:num>
  <w:num w:numId="358">
    <w:abstractNumId w:val="42"/>
  </w:num>
  <w:num w:numId="362">
    <w:abstractNumId w:val="103"/>
  </w:num>
  <w:num w:numId="364">
    <w:abstractNumId w:val="97"/>
  </w:num>
  <w:num w:numId="367">
    <w:abstractNumId w:val="36"/>
  </w:num>
  <w:num w:numId="369">
    <w:abstractNumId w:val="30"/>
  </w:num>
  <w:num w:numId="373">
    <w:abstractNumId w:val="24"/>
  </w:num>
  <w:num w:numId="376">
    <w:abstractNumId w:val="91"/>
  </w:num>
  <w:num w:numId="380">
    <w:abstractNumId w:val="85"/>
  </w:num>
  <w:num w:numId="382">
    <w:abstractNumId w:val="79"/>
  </w:num>
  <w:num w:numId="385">
    <w:abstractNumId w:val="73"/>
  </w:num>
  <w:num w:numId="387">
    <w:abstractNumId w:val="67"/>
  </w:num>
  <w:num w:numId="389">
    <w:abstractNumId w:val="61"/>
  </w:num>
  <w:num w:numId="391">
    <w:abstractNumId w:val="55"/>
  </w:num>
  <w:num w:numId="393">
    <w:abstractNumId w:val="49"/>
  </w:num>
  <w:num w:numId="395">
    <w:abstractNumId w:val="43"/>
  </w:num>
  <w:num w:numId="400">
    <w:abstractNumId w:val="37"/>
  </w:num>
  <w:num w:numId="405">
    <w:abstractNumId w:val="18"/>
  </w:num>
  <w:num w:numId="420">
    <w:abstractNumId w:val="12"/>
  </w:num>
  <w:num w:numId="436">
    <w:abstractNumId w:val="6"/>
  </w:num>
  <w:num w:numId="445">
    <w:abstractNumId w:val="0"/>
  </w:num>
  <w:num w:numId="463">
    <w:abstractNumId w:val="31"/>
  </w:num>
  <w:num w:numId="465">
    <w:abstractNumId w:val="25"/>
  </w:num>
  <w:num w:numId="475">
    <w:abstractNumId w:val="19"/>
  </w:num>
  <w:num w:numId="482">
    <w:abstractNumId w:val="13"/>
  </w:num>
  <w:num w:numId="489">
    <w:abstractNumId w:val="7"/>
  </w:num>
  <w:num w:numId="514">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numbering.xml" Id="docRId8" Type="http://schemas.openxmlformats.org/officeDocument/2006/relationships/numbering" /><Relationship TargetMode="External" Target="http://www.ets.kz/" Id="docRId1" Type="http://schemas.openxmlformats.org/officeDocument/2006/relationships/hyperlink" /><Relationship TargetMode="External" Target="mailto:azk_almaz@list.ru" Id="docRId5" Type="http://schemas.openxmlformats.org/officeDocument/2006/relationships/hyperlink" /><Relationship Target="styles.xml" Id="docRId9" Type="http://schemas.openxmlformats.org/officeDocument/2006/relationships/styles" /></Relationships>
</file>