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lang w:val="en-US"/>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13.05.2026 жылғы 42</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p>
    <w:p>
      <w:pPr>
        <w:pStyle w:val="Title"/>
        <w:rPr/>
      </w:pPr>
      <w:r>
        <w:rPr>
          <w:rFonts w:cs="Times New Roman" w:ascii="Times New Roman" w:hAnsi="Times New Roman"/>
          <w:sz w:val="24"/>
          <w:szCs w:val="24"/>
        </w:rPr>
        <w:t>Е Р Е К Ш Е Л І К</w:t>
        <w:br/>
      </w:r>
      <w:bookmarkStart w:id="2" w:name="OLE_LINK5"/>
      <w:bookmarkStart w:id="3" w:name="OLE_LINK6"/>
      <w:bookmarkStart w:id="4" w:name="_GoBack"/>
      <w:r>
        <w:rPr>
          <w:rFonts w:cs="Times New Roman" w:ascii="Times New Roman" w:hAnsi="Times New Roman"/>
          <w:sz w:val="24"/>
          <w:szCs w:val="24"/>
        </w:rPr>
        <w:t>АD315K2 - 0-300 мм класты "Д" маркалы көмір (207 тонна) "Шұбаркөл көмір" АҚ FCA станциясы.Қызылжарст.Шұбаркөл СҚО-да T+3 ай</w:t>
      </w:r>
      <w:bookmarkEnd w:id="4"/>
      <w:r>
        <w:rPr>
          <w:rFonts w:cs="Times New Roman" w:ascii="Times New Roman" w:hAnsi="Times New Roman"/>
          <w:sz w:val="24"/>
          <w:szCs w:val="24"/>
        </w:rPr>
        <w:br/>
      </w:r>
      <w:bookmarkEnd w:id="2"/>
      <w:bookmarkEnd w:id="3"/>
      <w:r>
        <w:rPr>
          <w:rFonts w:cs="Times New Roman" w:ascii="Times New Roman" w:hAnsi="Times New Roman"/>
          <w:sz w:val="24"/>
          <w:szCs w:val="24"/>
        </w:rPr>
        <w:t xml:space="preserve">(қосарланған қарсы аукцион режиміндегі биржалық сауда-саттықтар үшін)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www.ets.kz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www.ets.kz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rPr>
            </w:pPr>
            <w:r>
              <w:rPr>
                <w:rFonts w:cs="Times New Roman" w:ascii="Times New Roman" w:hAnsi="Times New Roman"/>
                <w:sz w:val="24"/>
                <w:szCs w:val="24"/>
              </w:rPr>
              <w:t>(Clearing Agreement Accession Date) –</w:t>
            </w:r>
          </w:p>
          <w:p>
            <w:pPr>
              <w:pStyle w:val="Style30"/>
              <w:spacing w:before="0" w:after="120"/>
              <w:rPr>
                <w:rFonts w:ascii="Times New Roman" w:hAnsi="Times New Roman" w:cs="Times New Roman"/>
                <w:sz w:val="24"/>
                <w:szCs w:val="24"/>
              </w:rPr>
            </w:pPr>
            <w:r>
              <w:rPr>
                <w:rFonts w:cs="Times New Roman" w:ascii="Times New Roman" w:hAnsi="Times New Roman"/>
                <w:sz w:val="24"/>
                <w:szCs w:val="24"/>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pPr>
            <w:r>
              <w:rPr>
                <w:rFonts w:cs="Times New Roman" w:ascii="Times New Roman" w:hAnsi="Times New Roman"/>
                <w:sz w:val="24"/>
                <w:szCs w:val="24"/>
              </w:rPr>
              <w:t>(</w:t>
            </w:r>
            <w:r>
              <w:rPr>
                <w:rFonts w:cs="Times New Roman" w:ascii="Times New Roman" w:hAnsi="Times New Roman"/>
                <w:b/>
                <w:bCs/>
                <w:sz w:val="24"/>
                <w:szCs w:val="24"/>
              </w:rPr>
              <w:t>Trade Date</w:t>
            </w:r>
            <w:r>
              <w:rPr>
                <w:rFonts w:cs="Times New Roman" w:ascii="Times New Roman" w:hAnsi="Times New Roman"/>
                <w:sz w:val="24"/>
                <w:szCs w:val="24"/>
              </w:rPr>
              <w:t>) –</w:t>
            </w:r>
          </w:p>
          <w:p>
            <w:pPr>
              <w:pStyle w:val="Style30"/>
              <w:spacing w:before="0" w:after="120"/>
              <w:rPr>
                <w:rFonts w:ascii="Times New Roman" w:hAnsi="Times New Roman" w:cs="Times New Roman"/>
                <w:sz w:val="24"/>
                <w:szCs w:val="24"/>
              </w:rPr>
            </w:pPr>
            <w:r>
              <w:rPr>
                <w:rFonts w:cs="Times New Roman" w:ascii="Times New Roman" w:hAnsi="Times New Roman"/>
                <w:sz w:val="24"/>
                <w:szCs w:val="24"/>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pPr>
            <w:r>
              <w:rPr>
                <w:rFonts w:cs="Times New Roman" w:ascii="Times New Roman" w:hAnsi="Times New Roman"/>
                <w:sz w:val="24"/>
                <w:szCs w:val="24"/>
              </w:rPr>
              <w:t>(</w:t>
            </w:r>
            <w:r>
              <w:rPr>
                <w:rFonts w:cs="Times New Roman" w:ascii="Times New Roman" w:hAnsi="Times New Roman"/>
                <w:b/>
                <w:bCs/>
                <w:sz w:val="24"/>
                <w:szCs w:val="24"/>
              </w:rPr>
              <w:t>Contract Signing Date</w:t>
            </w:r>
            <w:r>
              <w:rPr>
                <w:rFonts w:cs="Times New Roman" w:ascii="Times New Roman" w:hAnsi="Times New Roman"/>
                <w:sz w:val="24"/>
                <w:szCs w:val="24"/>
              </w:rPr>
              <w:t>) –</w:t>
            </w:r>
          </w:p>
          <w:p>
            <w:pPr>
              <w:pStyle w:val="Style30"/>
              <w:spacing w:before="0" w:after="120"/>
              <w:rPr>
                <w:rFonts w:ascii="Times New Roman" w:hAnsi="Times New Roman" w:cs="Times New Roman"/>
                <w:sz w:val="24"/>
                <w:szCs w:val="24"/>
              </w:rPr>
            </w:pPr>
            <w:r>
              <w:rPr>
                <w:rFonts w:cs="Times New Roman" w:ascii="Times New Roman" w:hAnsi="Times New Roman"/>
                <w:sz w:val="24"/>
                <w:szCs w:val="24"/>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тараптан қол қойылған шартты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pPr>
            <w:r>
              <w:rPr>
                <w:rFonts w:cs="Times New Roman" w:ascii="Times New Roman" w:hAnsi="Times New Roman"/>
                <w:sz w:val="24"/>
                <w:szCs w:val="24"/>
              </w:rPr>
              <w:t>(</w:t>
            </w:r>
            <w:r>
              <w:rPr>
                <w:rFonts w:cs="Times New Roman" w:ascii="Times New Roman" w:hAnsi="Times New Roman"/>
                <w:b/>
                <w:bCs/>
                <w:sz w:val="24"/>
                <w:szCs w:val="24"/>
              </w:rPr>
              <w:t>Payment Date</w:t>
            </w:r>
            <w:r>
              <w:rPr>
                <w:rFonts w:cs="Times New Roman" w:ascii="Times New Roman" w:hAnsi="Times New Roman"/>
                <w:sz w:val="24"/>
                <w:szCs w:val="24"/>
              </w:rPr>
              <w:t>) –</w:t>
            </w:r>
          </w:p>
          <w:p>
            <w:pPr>
              <w:pStyle w:val="Style30"/>
              <w:spacing w:before="0" w:after="120"/>
              <w:rPr>
                <w:rFonts w:ascii="Times New Roman" w:hAnsi="Times New Roman" w:cs="Times New Roman"/>
                <w:sz w:val="24"/>
                <w:szCs w:val="24"/>
              </w:rPr>
            </w:pPr>
            <w:r>
              <w:rPr>
                <w:rFonts w:cs="Times New Roman" w:ascii="Times New Roman" w:hAnsi="Times New Roman"/>
                <w:sz w:val="24"/>
                <w:szCs w:val="24"/>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pPr>
            <w:r>
              <w:rPr>
                <w:rFonts w:cs="Times New Roman" w:ascii="Times New Roman" w:hAnsi="Times New Roman"/>
                <w:b/>
                <w:bCs/>
                <w:sz w:val="24"/>
                <w:szCs w:val="24"/>
              </w:rPr>
              <w:t>(Payment Notification Date)</w:t>
            </w:r>
            <w:r>
              <w:rPr>
                <w:rFonts w:eastAsia="Arial Unicode MS" w:cs="Times New Roman" w:ascii="Times New Roman" w:hAnsi="Times New Roman"/>
                <w:bCs/>
                <w:sz w:val="24"/>
                <w:szCs w:val="24"/>
              </w:rPr>
              <w:t xml:space="preserve"> –</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rPr>
              <w:t xml:space="preserve">клирингтік орталықтың хабарлама берген күні </w:t>
            </w:r>
            <w:r>
              <w:rPr>
                <w:rFonts w:eastAsia="Arial Unicode MS" w:cs="Times New Roman" w:ascii="Times New Roman" w:hAnsi="Times New Roman"/>
                <w:bCs/>
                <w:sz w:val="24"/>
                <w:szCs w:val="24"/>
                <w:lang w:val="kk-KZ"/>
              </w:rPr>
              <w:t>б</w:t>
            </w:r>
            <w:r>
              <w:rPr>
                <w:rFonts w:eastAsia="Arial Unicode MS" w:cs="Times New Roman" w:ascii="Times New Roman" w:hAnsi="Times New Roman"/>
                <w:bCs/>
                <w:sz w:val="24"/>
                <w:szCs w:val="24"/>
              </w:rPr>
              <w:t xml:space="preserve">ата-анадан ақшалай қаражаттың түсуі туралы </w:t>
            </w:r>
            <w:r>
              <w:rPr>
                <w:rFonts w:eastAsia="Arial Unicode MS" w:cs="Times New Roman" w:ascii="Times New Roman" w:hAnsi="Times New Roman"/>
                <w:bCs/>
                <w:sz w:val="24"/>
                <w:szCs w:val="24"/>
                <w:lang w:val="kk-KZ"/>
              </w:rPr>
              <w:t>б</w:t>
            </w:r>
            <w:r>
              <w:rPr>
                <w:rFonts w:eastAsia="Arial Unicode MS" w:cs="Times New Roman" w:ascii="Times New Roman" w:hAnsi="Times New Roman"/>
                <w:bCs/>
                <w:sz w:val="24"/>
                <w:szCs w:val="24"/>
              </w:rPr>
              <w:t>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rPr>
            </w:pPr>
            <w:r>
              <w:rPr>
                <w:rFonts w:cs="Times New Roman" w:ascii="Times New Roman" w:hAnsi="Times New Roman"/>
                <w:sz w:val="24"/>
                <w:szCs w:val="24"/>
              </w:rPr>
              <w:t>жеткізу жоспарында белгіленген жөнелту айының соңғы күнтізбелік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pPr>
            <w:r>
              <w:rPr>
                <w:rFonts w:cs="Times New Roman" w:ascii="Times New Roman" w:hAnsi="Times New Roman"/>
                <w:b/>
                <w:bCs/>
                <w:sz w:val="24"/>
                <w:szCs w:val="24"/>
              </w:rPr>
              <w:t>(Delivery Date)</w:t>
            </w:r>
            <w:r>
              <w:rPr>
                <w:rFonts w:cs="Times New Roman" w:ascii="Times New Roman" w:hAnsi="Times New Roman"/>
                <w:sz w:val="24"/>
              </w:rPr>
              <w:t xml:space="preserve"> –</w:t>
            </w:r>
          </w:p>
          <w:p>
            <w:pPr>
              <w:pStyle w:val="Style30"/>
              <w:spacing w:before="0" w:after="120"/>
              <w:rPr>
                <w:rFonts w:ascii="Times New Roman" w:hAnsi="Times New Roman" w:cs="Times New Roman"/>
                <w:sz w:val="24"/>
                <w:szCs w:val="24"/>
              </w:rPr>
            </w:pPr>
            <w:r>
              <w:rPr>
                <w:rFonts w:cs="Times New Roman" w:ascii="Times New Roman" w:hAnsi="Times New Roman"/>
                <w:sz w:val="24"/>
              </w:rPr>
              <w:t xml:space="preserve">тауарды жеткізу/жөнелту айы </w:t>
            </w:r>
            <w:r>
              <w:rPr>
                <w:rFonts w:cs="Times New Roman" w:ascii="Times New Roman" w:hAnsi="Times New Roman"/>
                <w:sz w:val="24"/>
                <w:lang w:val="kk-KZ"/>
              </w:rPr>
              <w:t>б</w:t>
            </w:r>
            <w:r>
              <w:rPr>
                <w:rFonts w:cs="Times New Roman" w:ascii="Times New Roman" w:hAnsi="Times New Roman"/>
                <w:sz w:val="24"/>
              </w:rPr>
              <w:t>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i/>
                <w:iCs/>
                <w:sz w:val="24"/>
                <w:szCs w:val="24"/>
              </w:rPr>
              <w:t>(Seller Consent Submission Date)</w:t>
            </w:r>
            <w:r>
              <w:rPr>
                <w:rFonts w:cs="Times New Roman" w:ascii="Times New Roman" w:hAnsi="Times New Roman"/>
                <w:sz w:val="24"/>
                <w:szCs w:val="24"/>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i/>
                <w:iCs/>
                <w:sz w:val="24"/>
                <w:szCs w:val="24"/>
              </w:rPr>
              <w:t>(Buyer Consent Submission Date)</w:t>
            </w:r>
            <w:r>
              <w:rPr>
                <w:rFonts w:cs="Times New Roman" w:ascii="Times New Roman" w:hAnsi="Times New Roman"/>
                <w:sz w:val="24"/>
                <w:szCs w:val="24"/>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pPr>
            <w:r>
              <w:rPr>
                <w:rFonts w:cs="Times New Roman" w:ascii="Times New Roman" w:hAnsi="Times New Roman"/>
                <w:b/>
                <w:bCs/>
                <w:sz w:val="24"/>
                <w:szCs w:val="24"/>
              </w:rPr>
              <w:t>(Seller Payment Date)</w:t>
            </w:r>
            <w:r>
              <w:rPr>
                <w:rFonts w:cs="Times New Roman" w:ascii="Times New Roman" w:hAnsi="Times New Roman"/>
                <w:sz w:val="24"/>
              </w:rPr>
              <w:t xml:space="preserve"> –</w:t>
            </w:r>
          </w:p>
          <w:p>
            <w:pPr>
              <w:pStyle w:val="Style30"/>
              <w:spacing w:before="0" w:after="120"/>
              <w:rPr>
                <w:rFonts w:ascii="Times New Roman" w:hAnsi="Times New Roman" w:cs="Times New Roman"/>
                <w:sz w:val="24"/>
                <w:szCs w:val="24"/>
              </w:rPr>
            </w:pPr>
            <w:r>
              <w:rPr>
                <w:rFonts w:cs="Times New Roman" w:ascii="Times New Roman" w:hAnsi="Times New Roman"/>
                <w:sz w:val="24"/>
              </w:rPr>
              <w:t xml:space="preserve">клирингтік орталықтың ақша қаражатын аударған күні </w:t>
            </w:r>
            <w:r>
              <w:rPr>
                <w:rFonts w:cs="Times New Roman" w:ascii="Times New Roman" w:hAnsi="Times New Roman"/>
                <w:sz w:val="24"/>
                <w:lang w:val="kk-KZ"/>
              </w:rPr>
              <w:t>б</w:t>
            </w:r>
            <w:r>
              <w:rPr>
                <w:rFonts w:cs="Times New Roman" w:ascii="Times New Roman" w:hAnsi="Times New Roman"/>
                <w:sz w:val="24"/>
              </w:rPr>
              <w:t>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pPr>
            <w:r>
              <w:rPr>
                <w:rFonts w:cs="Times New Roman" w:ascii="Times New Roman" w:hAnsi="Times New Roman"/>
                <w:b/>
                <w:bCs/>
                <w:sz w:val="24"/>
                <w:szCs w:val="24"/>
              </w:rPr>
              <w:t>(Bond Unlock Date)</w:t>
            </w:r>
            <w:r>
              <w:rPr>
                <w:rFonts w:cs="Times New Roman" w:ascii="Times New Roman" w:hAnsi="Times New Roman"/>
                <w:sz w:val="24"/>
              </w:rPr>
              <w:t xml:space="preserve"> –</w:t>
            </w:r>
          </w:p>
          <w:p>
            <w:pPr>
              <w:pStyle w:val="Style30"/>
              <w:spacing w:before="0" w:after="120"/>
              <w:rPr>
                <w:rFonts w:ascii="Times New Roman" w:hAnsi="Times New Roman" w:cs="Times New Roman"/>
                <w:sz w:val="24"/>
                <w:szCs w:val="24"/>
              </w:rPr>
            </w:pPr>
            <w:r>
              <w:rPr>
                <w:rFonts w:cs="Times New Roman" w:ascii="Times New Roman" w:hAnsi="Times New Roman"/>
                <w:sz w:val="24"/>
              </w:rPr>
              <w:t>клирингтік орталықтың биржалық қамтамасыз етуді (БҚ) бұғаттаудан шығарған күні</w:t>
            </w:r>
          </w:p>
        </w:tc>
      </w:tr>
    </w:tbl>
    <w:p>
      <w:pPr>
        <w:pStyle w:val="Style30"/>
        <w:ind w:firstLine="426"/>
        <w:rPr/>
      </w:pPr>
      <w:r>
        <w:rPr>
          <w:rFonts w:cs="Times New Roman" w:ascii="Times New Roman" w:hAnsi="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АD315K2 - "Шұбаркөл көмір" АҚ 0-300 мм класты "Д" маркалы көмір (207 тонна) FCA ст.Қызылжарст.Шұбаркөл СҚО-да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lang w:val="en-US"/>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lang w:val="en-US"/>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lang w:val="en-US"/>
        </w:rPr>
        <w:t>пор</w:t>
      </w:r>
      <w:r>
        <w:rPr>
          <w:rFonts w:cs="Times New Roman" w:ascii="Times New Roman" w:hAnsi="Times New Roman"/>
          <w:sz w:val="24"/>
          <w:szCs w:val="24"/>
          <w:lang w:val="kk-KZ"/>
        </w:rPr>
        <w:t>ы</w:t>
      </w:r>
      <w:r>
        <w:rPr>
          <w:rFonts w:cs="Times New Roman" w:ascii="Times New Roman" w:hAnsi="Times New Roman"/>
          <w:sz w:val="24"/>
          <w:szCs w:val="24"/>
          <w:lang w:val="en-US"/>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lang w:val="en-US"/>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lang w:val="en-US"/>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w:t>
            </w:r>
            <w:r>
              <w:rPr>
                <w:rFonts w:cs="Times New Roman" w:ascii="Times New Roman" w:hAnsi="Times New Roman"/>
                <w:b/>
                <w:sz w:val="22"/>
                <w:szCs w:val="22"/>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6. Тауарды саны мен сапасы бойынша қабылдау тәртібі</w:t>
            </w:r>
          </w:p>
          <w:p>
            <w:pPr>
              <w:pStyle w:val="Normal"/>
              <w:jc w:val="both"/>
              <w:rPr/>
            </w:pPr>
            <w:r>
              <w:rPr>
                <w:rFonts w:cs="Times New Roman" w:ascii="Times New Roman" w:hAnsi="Times New Roman"/>
                <w:sz w:val="22"/>
                <w:szCs w:val="22"/>
                <w:lang w:val="kk-KZ"/>
              </w:rPr>
              <w:t>6.1. Тауарды қабылдауды Сатып алушы Тауарды тиеу орнында жүзеге асырады (</w:t>
            </w:r>
            <w:r>
              <w:rPr>
                <w:rFonts w:cs="Times New Roman" w:ascii="Times New Roman" w:hAnsi="Times New Roman"/>
                <w:sz w:val="22"/>
                <w:szCs w:val="22"/>
              </w:rPr>
              <w:t>_____________</w:t>
            </w:r>
            <w:r>
              <w:rPr>
                <w:rFonts w:cs="Times New Roman" w:ascii="Times New Roman" w:hAnsi="Times New Roman"/>
                <w:sz w:val="22"/>
                <w:szCs w:val="22"/>
                <w:lang w:val="kk-KZ"/>
              </w:rPr>
              <w:t>)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pPr>
            <w:r>
              <w:rPr>
                <w:rFonts w:cs="Times New Roman" w:ascii="Times New Roman" w:hAnsi="Times New Roman"/>
                <w:sz w:val="22"/>
                <w:szCs w:val="22"/>
              </w:rPr>
              <w:t xml:space="preserve">Наразылықтар </w:t>
            </w:r>
            <w:r>
              <w:rPr>
                <w:rFonts w:cs="Times New Roman" w:ascii="Times New Roman" w:hAnsi="Times New Roman"/>
                <w:sz w:val="22"/>
                <w:szCs w:val="22"/>
                <w:lang w:val="kk-KZ"/>
              </w:rPr>
              <w:t>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rPr>
            </w:pPr>
            <w:r>
              <w:rPr>
                <w:rFonts w:cs="Times New Roman" w:ascii="Times New Roman" w:hAnsi="Times New Roman"/>
                <w:b/>
                <w:sz w:val="22"/>
                <w:szCs w:val="22"/>
              </w:rPr>
            </w:r>
          </w:p>
          <w:p>
            <w:pPr>
              <w:pStyle w:val="Normal"/>
              <w:ind w:start="927"/>
              <w:rPr>
                <w:rFonts w:ascii="Times New Roman" w:hAnsi="Times New Roman" w:cs="Times New Roman"/>
                <w:b/>
                <w:sz w:val="22"/>
                <w:szCs w:val="22"/>
              </w:rPr>
            </w:pPr>
            <w:r>
              <w:rPr>
                <w:rFonts w:cs="Times New Roman" w:ascii="Times New Roman" w:hAnsi="Times New Roman"/>
                <w:b/>
                <w:sz w:val="22"/>
                <w:szCs w:val="22"/>
              </w:rPr>
              <w:t>7. Тараптардың жауапкершілігі</w:t>
            </w:r>
          </w:p>
          <w:p>
            <w:pPr>
              <w:pStyle w:val="CommentText"/>
              <w:ind w:firstLine="316"/>
              <w:jc w:val="both"/>
              <w:rPr>
                <w:sz w:val="22"/>
                <w:szCs w:val="22"/>
              </w:rPr>
            </w:pPr>
            <w:r>
              <w:rPr>
                <w:sz w:val="22"/>
                <w:szCs w:val="22"/>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pPr>
            <w:r>
              <w:rPr>
                <w:rFonts w:cs="Times New Roman" w:ascii="Times New Roman" w:hAnsi="Times New Roman"/>
                <w:sz w:val="22"/>
                <w:szCs w:val="22"/>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pPr>
            <w:r>
              <w:rPr>
                <w:sz w:val="22"/>
                <w:szCs w:val="22"/>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rPr>
            </w:pPr>
            <w:r>
              <w:rPr>
                <w:sz w:val="22"/>
                <w:szCs w:val="22"/>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rPr>
            </w:pPr>
            <w:r>
              <w:rPr>
                <w:sz w:val="22"/>
                <w:szCs w:val="22"/>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pPr>
            <w:r>
              <w:rPr>
                <w:sz w:val="22"/>
                <w:szCs w:val="22"/>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pPr>
            <w:r>
              <w:rPr>
                <w:rFonts w:cs="Times New Roman" w:ascii="Times New Roman" w:hAnsi="Times New Roman"/>
                <w:sz w:val="22"/>
                <w:szCs w:val="22"/>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rPr>
              <w:t>-дан</w:t>
            </w:r>
            <w:r>
              <w:rPr>
                <w:rFonts w:cs="Times New Roman" w:ascii="Times New Roman" w:hAnsi="Times New Roman"/>
                <w:sz w:val="22"/>
                <w:szCs w:val="22"/>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7.11 </w:t>
            </w:r>
            <w:bookmarkStart w:id="34" w:name="OLE_LINK65"/>
            <w:bookmarkStart w:id="35" w:name="OLE_LINK66"/>
            <w:r>
              <w:rPr>
                <w:rFonts w:cs="Times New Roman" w:ascii="Times New Roman" w:hAnsi="Times New Roman"/>
                <w:sz w:val="22"/>
                <w:szCs w:val="22"/>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rPr>
            </w:pPr>
            <w:r>
              <w:rPr>
                <w:rFonts w:cs="Times New Roman" w:ascii="Times New Roman" w:hAnsi="Times New Roman"/>
                <w:sz w:val="22"/>
                <w:szCs w:val="22"/>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rPr>
            </w:pPr>
            <w:bookmarkStart w:id="45" w:name="OLE_LINK50"/>
            <w:bookmarkStart w:id="46" w:name="OLE_LINK51"/>
            <w:r>
              <w:rPr>
                <w:rFonts w:cs="Times New Roman" w:ascii="Times New Roman" w:hAnsi="Times New Roman"/>
                <w:sz w:val="22"/>
                <w:szCs w:val="22"/>
              </w:rPr>
              <w:t xml:space="preserve">7.15. </w:t>
            </w:r>
            <w:bookmarkStart w:id="47" w:name="OLE_LINK70"/>
            <w:bookmarkStart w:id="48" w:name="OLE_LINK71"/>
            <w:r>
              <w:rPr>
                <w:rFonts w:cs="Times New Roman" w:ascii="Times New Roman" w:hAnsi="Times New Roman"/>
                <w:sz w:val="22"/>
                <w:szCs w:val="22"/>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rPr>
              <w:t>.</w:t>
            </w:r>
          </w:p>
          <w:p>
            <w:pPr>
              <w:pStyle w:val="Normal"/>
              <w:widowControl w:val="false"/>
              <w:tabs>
                <w:tab w:val="clear" w:pos="708"/>
                <w:tab w:val="left" w:pos="0" w:leader="none"/>
              </w:tabs>
              <w:ind w:firstLine="316"/>
              <w:jc w:val="both"/>
              <w:rPr>
                <w:rFonts w:ascii="Times New Roman" w:hAnsi="Times New Roman" w:cs="Times New Roman"/>
                <w:sz w:val="22"/>
                <w:szCs w:val="22"/>
              </w:rPr>
            </w:pPr>
            <w:r>
              <w:rPr>
                <w:rFonts w:cs="Times New Roman" w:ascii="Times New Roman" w:hAnsi="Times New Roman"/>
                <w:sz w:val="22"/>
                <w:szCs w:val="22"/>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pPr>
            <w:r>
              <w:rPr>
                <w:rFonts w:cs="Times New Roman" w:ascii="Times New Roman" w:hAnsi="Times New Roman"/>
                <w:sz w:val="22"/>
                <w:szCs w:val="22"/>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rPr>
              <w:t xml:space="preserve"> </w:t>
            </w:r>
            <w:r>
              <w:rPr>
                <w:rFonts w:cs="Times New Roman" w:ascii="Times New Roman" w:hAnsi="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rPr>
            </w:pPr>
            <w:bookmarkStart w:id="49" w:name="OLE_LINK89"/>
            <w:r>
              <w:rPr>
                <w:rFonts w:cs="Times New Roman" w:ascii="Times New Roman" w:hAnsi="Times New Roman"/>
                <w:sz w:val="22"/>
                <w:szCs w:val="22"/>
              </w:rPr>
              <w:t xml:space="preserve">9.2. </w:t>
            </w:r>
            <w:bookmarkStart w:id="50" w:name="OLE_LINK87"/>
            <w:bookmarkStart w:id="51" w:name="OLE_LINK88"/>
            <w:r>
              <w:rPr>
                <w:rFonts w:cs="Times New Roman" w:ascii="Times New Roman" w:hAnsi="Times New Roman"/>
                <w:sz w:val="22"/>
                <w:szCs w:val="22"/>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rPr>
              <w:t>(</w:t>
            </w:r>
            <w:bookmarkStart w:id="53" w:name="OLE_LINK91"/>
            <w:r>
              <w:rPr>
                <w:rFonts w:cs="Times New Roman" w:ascii="Times New Roman" w:hAnsi="Times New Roman"/>
                <w:sz w:val="22"/>
                <w:szCs w:val="22"/>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rPr>
            </w:pPr>
            <w:r>
              <w:rPr>
                <w:rFonts w:cs="Times New Roman" w:ascii="Times New Roman" w:hAnsi="Times New Roman"/>
                <w:sz w:val="22"/>
                <w:szCs w:val="22"/>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14.3. ЭЦҚ қолданбай Келісім-шарт жасалған жағдайда келесі тәртіп сақталуы тиіс:</w:t>
            </w:r>
          </w:p>
          <w:p>
            <w:pPr>
              <w:pStyle w:val="PlainText"/>
              <w:jc w:val="both"/>
              <w:rPr/>
            </w:pPr>
            <w:r>
              <w:rPr>
                <w:rFonts w:cs="Times New Roman" w:ascii="Times New Roman" w:hAnsi="Times New Roman"/>
                <w:sz w:val="22"/>
                <w:szCs w:val="22"/>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pPr>
            <w:r>
              <w:rPr>
                <w:rFonts w:cs="Times New Roman" w:ascii="Times New Roman" w:hAnsi="Times New Roman"/>
                <w:sz w:val="22"/>
                <w:szCs w:val="22"/>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rPr>
            </w:pPr>
            <w:r>
              <w:rPr>
                <w:rFonts w:cs="Times New Roman" w:ascii="Times New Roman" w:hAnsi="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rPr>
              <w:t>құралдардың.</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Санкциялар</w:t>
            </w:r>
            <w:r>
              <w:rPr>
                <w:rFonts w:eastAsia="Calibri" w:cs="Times New Roman" w:ascii="Times New Roman" w:hAnsi="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 xml:space="preserve">Санкциялық тұлға </w:t>
            </w:r>
            <w:r>
              <w:rPr>
                <w:rFonts w:eastAsia="Calibri" w:cs="Times New Roman" w:ascii="Times New Roman" w:hAnsi="Times New Roman"/>
                <w:sz w:val="22"/>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Қақтығыс аймақтары</w:t>
            </w:r>
            <w:r>
              <w:rPr>
                <w:rFonts w:eastAsia="Calibri" w:cs="Times New Roman" w:ascii="Times New Roman" w:hAnsi="Times New Roman"/>
                <w:sz w:val="22"/>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rPr>
            </w:pPr>
            <w:r>
              <w:rPr>
                <w:rFonts w:eastAsia="Calibri" w:cs="Times New Roman" w:ascii="Times New Roman" w:hAnsi="Times New Roman"/>
                <w:sz w:val="22"/>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3.1.3. Серіктес сатып алынған тауарларды бермеуге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3.1.4. Серіктес дереу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3.1.5.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 ол үшін ERG жедел желісінің арналарын пайдалана алады (</w:t>
            </w:r>
            <w:hyperlink r:id="rId6">
              <w:r>
                <w:rPr>
                  <w:rStyle w:val="Hyperlink"/>
                  <w:rFonts w:eastAsia="Calibri" w:cs="Times New Roman" w:ascii="Times New Roman" w:hAnsi="Times New Roman"/>
                  <w:sz w:val="22"/>
                </w:rPr>
                <w:t>www.erg.integrityline.org</w:t>
              </w:r>
              <w:r>
                <w:rPr>
                  <w:rStyle w:val="Hyperlink"/>
                  <w:rFonts w:eastAsia="Calibri" w:cs="Times New Roman" w:ascii="Times New Roman" w:hAnsi="Times New Roman"/>
                  <w:sz w:val="22"/>
                  <w:lang w:val="kk-KZ"/>
                </w:rPr>
                <w:t>/</w:t>
              </w:r>
            </w:hyperlink>
            <w:r>
              <w:rPr>
                <w:rFonts w:eastAsia="Calibri" w:cs="Times New Roman" w:ascii="Times New Roman" w:hAnsi="Times New Roman"/>
                <w:sz w:val="22"/>
                <w:lang w:val="kk-KZ"/>
              </w:rPr>
              <w:t>,</w:t>
            </w:r>
            <w:r>
              <w:rPr>
                <w:rFonts w:eastAsia="Calibri" w:cs="Times New Roman" w:ascii="Times New Roman" w:hAnsi="Times New Roman"/>
                <w:sz w:val="22"/>
              </w:rPr>
              <w:t xml:space="preserve">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rPr>
              <w:t>.</w:t>
            </w:r>
          </w:p>
          <w:p>
            <w:pPr>
              <w:pStyle w:val="Normal"/>
              <w:rPr>
                <w:rFonts w:ascii="Times New Roman" w:hAnsi="Times New Roman" w:cs="Times New Roman"/>
                <w:b/>
                <w:sz w:val="22"/>
                <w:szCs w:val="22"/>
              </w:rPr>
            </w:pPr>
            <w:r>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pPr>
      <w:r>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АD315K2 - Уголь марки «Д» класса 0-300 мм (207 тонн) АО «Шубарколь комир» FCA ст.Кызылжарст.Шубарколь в СКО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АD315K2 - Уголь марки «Д» класса 0-300 мм (207 тонн) АО «Шубарколь комир» FCA ст.Кызылжарст.Шубарколь в СКО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66</TotalTime>
  <Application>LibreOffice/26.2.3.2$Windows_X86_64 LibreOffice_project/70e089b17412e4cb7773e41413306b17a2328c34</Application>
  <AppVersion>15.0000</AppVersion>
  <Pages>37</Pages>
  <Words>13674</Words>
  <Characters>97197</Characters>
  <CharactersWithSpaces>110602</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2026-05-18T09:19:28Z</dcterms:modified>
  <cp:revision>45</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