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"06"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UWDFC16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w:t>
      </w:r>
      <w:r>
        <w:rPr>
          <w:rFonts w:ascii="Times New Roman" w:hAnsi="Times New Roman" w:cs="Times New Roman" w:eastAsia="Times New Roman"/>
          <w:b/>
          <w:color w:val="000000"/>
          <w:spacing w:val="0"/>
          <w:position w:val="0"/>
          <w:sz w:val="24"/>
          <w:shd w:fill="auto" w:val="clear"/>
        </w:rPr>
        <w:t xml:space="preserve">қ қант, FCA жеткізу шарттары ШҚО</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қосарланған қарсы анонимдік аукцион режиміндегі биржалық сауда-саттықтар үшін)  </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ЕТС биржасы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а</w:t>
            </w:r>
            <w:r>
              <w:rPr>
                <w:rFonts w:ascii="Times New Roman" w:hAnsi="Times New Roman" w:cs="Times New Roman" w:eastAsia="Times New Roman"/>
                <w:color w:val="000000"/>
                <w:spacing w:val="0"/>
                <w:position w:val="0"/>
                <w:sz w:val="24"/>
                <w:shd w:fill="auto" w:val="clear"/>
              </w:rPr>
              <w:t xml:space="preserve">қ қантқа арналған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ҚҚАА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анонимдік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Отанды</w:t>
            </w:r>
            <w:r>
              <w:rPr>
                <w:rFonts w:ascii="Times New Roman" w:hAnsi="Times New Roman" w:cs="Times New Roman" w:eastAsia="Times New Roman"/>
                <w:b/>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w:t>
            </w:r>
            <w:r>
              <w:rPr>
                <w:rFonts w:ascii="Times New Roman" w:hAnsi="Times New Roman" w:cs="Times New Roman" w:eastAsia="Times New Roman"/>
                <w:b/>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(Clearing Agreement Accession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 </w:t>
            </w:r>
            <w:r>
              <w:rPr>
                <w:rFonts w:ascii="Times New Roman" w:hAnsi="Times New Roman" w:cs="Times New Roman" w:eastAsia="Times New Roman"/>
                <w:b/>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UWDFC16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FCA жеткізу шарттары ШҚО;</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Саудалы</w:t>
      </w:r>
      <w:r>
        <w:rPr>
          <w:rFonts w:ascii="Times New Roman" w:hAnsi="Times New Roman" w:cs="Times New Roman" w:eastAsia="Times New Roman"/>
          <w:color w:val="000000"/>
          <w:spacing w:val="0"/>
          <w:position w:val="0"/>
          <w:sz w:val="24"/>
          <w:shd w:fill="auto" w:val="clear"/>
        </w:rPr>
        <w:t xml:space="preserve">қ лот - 1 метрикалық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аз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Қаптамасы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таза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теміржол/авток</w:t>
      </w:r>
      <w:r>
        <w:rPr>
          <w:rFonts w:ascii="Times New Roman" w:hAnsi="Times New Roman" w:cs="Times New Roman" w:eastAsia="Times New Roman"/>
          <w:color w:val="000000"/>
          <w:spacing w:val="0"/>
          <w:position w:val="0"/>
          <w:sz w:val="24"/>
          <w:shd w:fill="auto" w:val="clear"/>
        </w:rPr>
        <w:t xml:space="preserve">өлік;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ҚО;</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жөнелтуге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төзімділік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 </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етудің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ІАД режимінде жасал</w:t>
      </w:r>
      <w:r>
        <w:rPr>
          <w:rFonts w:ascii="Times New Roman" w:hAnsi="Times New Roman" w:cs="Times New Roman" w:eastAsia="Times New Roman"/>
          <w:color w:val="000000"/>
          <w:spacing w:val="0"/>
          <w:position w:val="0"/>
          <w:sz w:val="24"/>
          <w:shd w:fill="auto" w:val="clear"/>
        </w:rPr>
        <w:t xml:space="preserve">ған Тауарлармен биржалық мәміле осы Спецификацияның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Биржалар бойынша шарттар жасасу мерзімдерім</w:t>
      </w:r>
      <w:r>
        <w:rPr>
          <w:rFonts w:ascii="Times New Roman" w:hAnsi="Times New Roman" w:cs="Times New Roman" w:eastAsia="Times New Roman"/>
          <w:b/>
          <w:color w:val="auto"/>
          <w:spacing w:val="0"/>
          <w:position w:val="0"/>
          <w:sz w:val="24"/>
          <w:shd w:fill="auto" w:val="clear"/>
        </w:rPr>
        <w:t xml:space="preserve">әміле туралы</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w:t>
            </w:r>
            <w:r>
              <w:rPr>
                <w:rFonts w:ascii="Times New Roman" w:hAnsi="Times New Roman" w:cs="Times New Roman" w:eastAsia="Times New Roman"/>
                <w:color w:val="000000"/>
                <w:spacing w:val="0"/>
                <w:position w:val="0"/>
                <w:sz w:val="24"/>
                <w:shd w:fill="auto" w:val="clear"/>
              </w:rPr>
              <w:t xml:space="preserve">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tabs>
          <w:tab w:val="left" w:pos="397" w:leader="none"/>
        </w:tabs>
        <w:suppressAutoHyphens w:val="true"/>
        <w:spacing w:before="36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 </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СЅ</w:t>
            </w:r>
            <w:r>
              <w:rPr>
                <w:rFonts w:ascii="Times New Roman" w:hAnsi="Times New Roman" w:cs="Times New Roman" w:eastAsia="Times New Roman"/>
                <w:color w:val="000000"/>
                <w:spacing w:val="0"/>
                <w:position w:val="0"/>
                <w:sz w:val="24"/>
                <w:shd w:fill="auto" w:val="clear"/>
              </w:rPr>
              <w:t xml:space="preserve">+ 5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30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w:t>
            </w:r>
            <w:r>
              <w:rPr>
                <w:rFonts w:ascii="Times New Roman" w:hAnsi="Times New Roman" w:cs="Times New Roman" w:eastAsia="Times New Roman"/>
                <w:color w:val="000000"/>
                <w:spacing w:val="0"/>
                <w:position w:val="0"/>
                <w:sz w:val="24"/>
                <w:shd w:fill="auto" w:val="clear"/>
              </w:rPr>
              <w:t xml:space="preserve">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жеткізу шартына </w:t>
      </w:r>
      <w:r>
        <w:rPr>
          <w:rFonts w:ascii="Times New Roman" w:hAnsi="Times New Roman" w:cs="Times New Roman" w:eastAsia="Times New Roman"/>
          <w:color w:val="000000"/>
          <w:spacing w:val="0"/>
          <w:position w:val="0"/>
          <w:sz w:val="24"/>
          <w:shd w:fill="auto" w:val="clear"/>
        </w:rPr>
        <w:t xml:space="preserve">қол қойылған күннен кейін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Спецификацияға сәйкес және оның шарттарына сәйкес жөнелтеді;</w:t>
      </w:r>
    </w:p>
    <w:p>
      <w:pPr>
        <w:widowControl w:val="false"/>
        <w:numPr>
          <w:ilvl w:val="0"/>
          <w:numId w:val="90"/>
        </w:numPr>
        <w:tabs>
          <w:tab w:val="left" w:pos="708" w:leader="none"/>
          <w:tab w:val="left" w:pos="426" w:leader="none"/>
          <w:tab w:val="left" w:pos="56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жеткізгеннен/ж</w:t>
      </w:r>
      <w:r>
        <w:rPr>
          <w:rFonts w:ascii="Times New Roman" w:hAnsi="Times New Roman" w:cs="Times New Roman" w:eastAsia="Times New Roman"/>
          <w:color w:val="000000"/>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жеткізу/ж</w:t>
      </w:r>
      <w:r>
        <w:rPr>
          <w:rFonts w:ascii="Times New Roman" w:hAnsi="Times New Roman" w:cs="Times New Roman" w:eastAsia="Times New Roman"/>
          <w:color w:val="000000"/>
          <w:spacing w:val="0"/>
          <w:position w:val="0"/>
          <w:sz w:val="24"/>
          <w:shd w:fill="auto" w:val="clear"/>
        </w:rPr>
        <w:t xml:space="preserve">өнелту туралы барлық растайтын құжаттарды қоса бере отырып: (тауарды жөнелтуге арналған жүкқұжат)</w:t>
      </w: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 </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numPr>
          <w:ilvl w:val="0"/>
          <w:numId w:val="90"/>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0"/>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Клирингтік орталы</w:t>
      </w:r>
      <w:r>
        <w:rPr>
          <w:rFonts w:ascii="Times New Roman" w:hAnsi="Times New Roman" w:cs="Times New Roman" w:eastAsia="Times New Roman"/>
          <w:color w:val="000000"/>
          <w:spacing w:val="0"/>
          <w:position w:val="0"/>
          <w:sz w:val="24"/>
          <w:shd w:fill="auto" w:val="clear"/>
        </w:rPr>
        <w:t xml:space="preserve">ққа хат ұсынады: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орындалуы туралы, </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бұғаттаудан шығару туралы,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 жа</w:t>
      </w:r>
      <w:r>
        <w:rPr>
          <w:rFonts w:ascii="Times New Roman" w:hAnsi="Times New Roman" w:cs="Times New Roman" w:eastAsia="Times New Roman"/>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tabs>
          <w:tab w:val="left" w:pos="397" w:leader="none"/>
        </w:tabs>
        <w:suppressAutoHyphens w:val="true"/>
        <w:spacing w:before="360" w:after="36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 орталы</w:t>
      </w:r>
      <w:r>
        <w:rPr>
          <w:rFonts w:ascii="Times New Roman" w:hAnsi="Times New Roman" w:cs="Times New Roman" w:eastAsia="Times New Roman"/>
          <w:color w:val="auto"/>
          <w:spacing w:val="0"/>
          <w:position w:val="0"/>
          <w:sz w:val="24"/>
          <w:shd w:fill="auto" w:val="clear"/>
        </w:rPr>
        <w:t xml:space="preserve">ғы Клиринг ережелеріне сәйкес биржалық қамтамасыз етудің құлпын ашуды және қайтаруды жүзеге асырады,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pPr>
        <w:widowControl w:val="false"/>
        <w:numPr>
          <w:ilvl w:val="0"/>
          <w:numId w:val="121"/>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Спецификация</w:t>
      </w:r>
      <w:r>
        <w:rPr>
          <w:rFonts w:ascii="Times New Roman" w:hAnsi="Times New Roman" w:cs="Times New Roman" w:eastAsia="Times New Roman"/>
          <w:color w:val="000000"/>
          <w:spacing w:val="0"/>
          <w:position w:val="0"/>
          <w:sz w:val="24"/>
          <w:shd w:fill="auto" w:val="clear"/>
        </w:rPr>
        <w:t xml:space="preserve">ға өзгерістер мен толықтырулар енгізуге құқылы.</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БОЛЖАМДЫ НЫСАНЫ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color w:val="auto"/>
          <w:spacing w:val="0"/>
          <w:position w:val="0"/>
          <w:sz w:val="24"/>
          <w:shd w:fill="auto" w:val="clear"/>
        </w:rPr>
        <w:t xml:space="preserve">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сату туралы б</w:t>
      </w:r>
      <w:r>
        <w:rPr>
          <w:rFonts w:ascii="Times New Roman" w:hAnsi="Times New Roman" w:cs="Times New Roman" w:eastAsia="Times New Roman"/>
          <w:color w:val="auto"/>
          <w:spacing w:val="0"/>
          <w:position w:val="0"/>
          <w:sz w:val="24"/>
          <w:shd w:fill="auto" w:val="clear"/>
        </w:rPr>
        <w:t xml:space="preserve">ұйрықпен "__" ________ 20__ 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"Сатушы"</w:t>
      </w:r>
      <w:r>
        <w:rPr>
          <w:rFonts w:ascii="Times New Roman" w:hAnsi="Times New Roman" w:cs="Times New Roman" w:eastAsia="Times New Roman"/>
          <w:color w:val="auto"/>
          <w:spacing w:val="0"/>
          <w:position w:val="0"/>
          <w:sz w:val="24"/>
          <w:shd w:fill="auto" w:val="clear"/>
        </w:rPr>
        <w:t xml:space="preserve">, бір жағынан,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"Сатып алушы", </w:t>
      </w:r>
      <w:r>
        <w:rPr>
          <w:rFonts w:ascii="Times New Roman" w:hAnsi="Times New Roman" w:cs="Times New Roman" w:eastAsia="Times New Roman"/>
          <w:color w:val="auto"/>
          <w:spacing w:val="0"/>
          <w:position w:val="0"/>
          <w:sz w:val="24"/>
          <w:shd w:fill="auto" w:val="clear"/>
        </w:rPr>
        <w:t xml:space="preserve">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бірлесіп аталатындар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Биржалық мәмілені орындау үшін "Тараптар", ал жеке "Тарап".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БНАЖ" тауар биржасы" А</w:t>
      </w:r>
      <w:r>
        <w:rPr>
          <w:rFonts w:ascii="Times New Roman" w:hAnsi="Times New Roman" w:cs="Times New Roman" w:eastAsia="Times New Roman"/>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төмендегілер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ОСЫ ШАРТТА ПАЙДАЛАНЫЛАТЫН </w:t>
      </w:r>
      <w:r>
        <w:rPr>
          <w:rFonts w:ascii="Times New Roman" w:hAnsi="Times New Roman" w:cs="Times New Roman" w:eastAsia="Times New Roman"/>
          <w:b/>
          <w:color w:val="auto"/>
          <w:spacing w:val="0"/>
          <w:position w:val="0"/>
          <w:sz w:val="24"/>
          <w:shd w:fill="auto" w:val="clear"/>
        </w:rPr>
        <w:t xml:space="preserve">ҚЫСҚАРТУЛАР МЕН ТЕРМИНДЕР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Келесі сапалы</w:t>
            </w:r>
            <w:r>
              <w:rPr>
                <w:rFonts w:ascii="Times New Roman" w:hAnsi="Times New Roman" w:cs="Times New Roman" w:eastAsia="Times New Roman"/>
                <w:color w:val="auto"/>
                <w:spacing w:val="0"/>
                <w:position w:val="0"/>
                <w:sz w:val="24"/>
                <w:shd w:fill="auto" w:val="clear"/>
              </w:rPr>
              <w:t xml:space="preserve">қ сипаттамаларға жауап беретін ақ қант: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Арамш</w:t>
            </w:r>
            <w:r>
              <w:rPr>
                <w:rFonts w:ascii="Times New Roman" w:hAnsi="Times New Roman" w:cs="Times New Roman" w:eastAsia="Times New Roman"/>
                <w:color w:val="auto"/>
                <w:spacing w:val="0"/>
                <w:position w:val="0"/>
                <w:sz w:val="24"/>
                <w:shd w:fill="auto" w:val="clear"/>
              </w:rPr>
              <w:t xml:space="preserve">өп қоспасы:</w:t>
              <w:tab/>
              <w:t xml:space="preserve">макс.___%,  </w:t>
              <w:br/>
              <w:t xml:space="preserve">Астық қоспасы:</w:t>
              <w:tab/>
              <w:t xml:space="preserve">макс.___%,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тасымалдаушы" к</w:t>
            </w:r>
            <w:r>
              <w:rPr>
                <w:rFonts w:ascii="Times New Roman" w:hAnsi="Times New Roman" w:cs="Times New Roman" w:eastAsia="Times New Roman"/>
                <w:color w:val="auto"/>
                <w:spacing w:val="0"/>
                <w:position w:val="0"/>
                <w:sz w:val="24"/>
                <w:shd w:fill="auto" w:val="clear"/>
              </w:rPr>
              <w:t xml:space="preserve">өрсетілген жер атауы - экспорттың кедендік режимінде шығарылған тауарлар көрсетілген жерде сатып алушы көрсеткен тасымалдаушының көлік құралына тиелген кезде сатушының жеткізілім бойынша міндеттемелерін орындады деп есептелетіндігін білдіреді.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"БНАЖ" тауар биржасы" АҚ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w:t>
            </w:r>
          </w:p>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БНАЖ" ЖШС осы Шарт бойынша тарап болып табылмайды және Шарт Тараптарының міндеттемелері бойынша жауап бермейді. "БНАЖ клирингтік орталығы" ЖШС есеп айырысуларға биржалық мәмілелер бойынша есеп айырысуларға клирингтік қызмет көрсету туралы үлгілік шартта және/немесе Клиринг ережелерінде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бұйрығымен бекітілген Тауардың спецификациясы,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хаттама, Биржалы</w:t>
            </w:r>
            <w:r>
              <w:rPr>
                <w:rFonts w:ascii="Times New Roman" w:hAnsi="Times New Roman" w:cs="Times New Roman" w:eastAsia="Times New Roman"/>
                <w:color w:val="auto"/>
                <w:spacing w:val="0"/>
                <w:position w:val="0"/>
                <w:sz w:val="24"/>
                <w:shd w:fill="auto" w:val="clear"/>
              </w:rPr>
              <w:t xml:space="preserve">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0"/>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FCA, ал Сатып алушы (Төлеуші) Тауарды қабылдайды және төлейді. </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3"/>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ЖӘНЕ ШАРТТЫҢ СОМАСЫ</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 </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6"/>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ЖЕТКІЗУ ШАРТТАРЫ</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FCA Инкотермс 2020. Жаңалықтар</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w:t>
      </w:r>
      <w:r>
        <w:rPr>
          <w:rFonts w:ascii="Times New Roman" w:hAnsi="Times New Roman" w:cs="Times New Roman" w:eastAsia="Times New Roman"/>
          <w:b/>
          <w:color w:val="auto"/>
          <w:spacing w:val="0"/>
          <w:position w:val="0"/>
          <w:sz w:val="24"/>
          <w:shd w:fill="auto" w:val="clear"/>
        </w:rPr>
        <w:t xml:space="preserve">PD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16:00-ге дейін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9"/>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ЕСЕП АЙЫРЫСУ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numPr>
          <w:ilvl w:val="0"/>
          <w:numId w:val="199"/>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 ережелерімен реттеледі.    </w:t>
      </w:r>
    </w:p>
    <w:p>
      <w:pPr>
        <w:widowControl w:val="false"/>
        <w:numPr>
          <w:ilvl w:val="0"/>
          <w:numId w:val="199"/>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Спецификациясында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 ережелерімен және Тауардың ерекшелігімен белгіленген тәртіпке сәйкес жүзеге асырылады. </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6"/>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numPr>
          <w:ilvl w:val="0"/>
          <w:numId w:val="206"/>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pPr>
        <w:widowControl w:val="false"/>
        <w:numPr>
          <w:ilvl w:val="0"/>
          <w:numId w:val="206"/>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 </w:t>
      </w:r>
    </w:p>
    <w:p>
      <w:pPr>
        <w:widowControl w:val="false"/>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 </w:t>
      </w:r>
      <w:r>
        <w:rPr>
          <w:rFonts w:ascii="Times New Roman" w:hAnsi="Times New Roman" w:cs="Times New Roman" w:eastAsia="Times New Roman"/>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numPr>
          <w:ilvl w:val="0"/>
          <w:numId w:val="213"/>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МЕРЗІМІ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pPr>
        <w:widowControl w:val="false"/>
        <w:numPr>
          <w:ilvl w:val="0"/>
          <w:numId w:val="213"/>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3"/>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    </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9"/>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ФОРС-МАЖОР ЖА</w:t>
      </w:r>
      <w:r>
        <w:rPr>
          <w:rFonts w:ascii="Times New Roman" w:hAnsi="Times New Roman" w:cs="Times New Roman" w:eastAsia="Times New Roman"/>
          <w:b/>
          <w:color w:val="auto"/>
          <w:spacing w:val="0"/>
          <w:position w:val="0"/>
          <w:sz w:val="24"/>
          <w:shd w:fill="auto" w:val="clear"/>
        </w:rPr>
        <w:t xml:space="preserve">ҒДАЙЫ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2"/>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ДАУЛАРДЫ ШЕШУ                 </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5"/>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БАС</w:t>
      </w:r>
      <w:r>
        <w:rPr>
          <w:rFonts w:ascii="Times New Roman" w:hAnsi="Times New Roman" w:cs="Times New Roman" w:eastAsia="Times New Roman"/>
          <w:b/>
          <w:color w:val="auto"/>
          <w:spacing w:val="0"/>
          <w:position w:val="0"/>
          <w:sz w:val="24"/>
          <w:shd w:fill="auto" w:val="clear"/>
        </w:rPr>
        <w:t xml:space="preserve">ҚА ШАРТТАР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5"/>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9"/>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СББ ДЕРЕКТЕМЕЛЕРІ </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r>
    </w:tbl>
    <w:p>
      <w:pPr>
        <w:widowControl w:val="false"/>
        <w:tabs>
          <w:tab w:val="left" w:pos="397" w:leader="none"/>
        </w:tabs>
        <w:suppressAutoHyphens w:val="true"/>
        <w:spacing w:before="120" w:after="0" w:line="240"/>
        <w:ind w:right="0" w:left="0" w:firstLine="0"/>
        <w:jc w:val="center"/>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90">
    <w:abstractNumId w:val="126"/>
  </w:num>
  <w:num w:numId="92">
    <w:abstractNumId w:val="120"/>
  </w:num>
  <w:num w:numId="96">
    <w:abstractNumId w:val="114"/>
  </w:num>
  <w:num w:numId="99">
    <w:abstractNumId w:val="108"/>
  </w:num>
  <w:num w:numId="102">
    <w:abstractNumId w:val="102"/>
  </w:num>
  <w:num w:numId="105">
    <w:abstractNumId w:val="96"/>
  </w:num>
  <w:num w:numId="110">
    <w:abstractNumId w:val="90"/>
  </w:num>
  <w:num w:numId="114">
    <w:abstractNumId w:val="84"/>
  </w:num>
  <w:num w:numId="117">
    <w:abstractNumId w:val="78"/>
  </w:num>
  <w:num w:numId="121">
    <w:abstractNumId w:val="72"/>
  </w:num>
  <w:num w:numId="136">
    <w:abstractNumId w:val="66"/>
  </w:num>
  <w:num w:numId="156">
    <w:abstractNumId w:val="60"/>
  </w:num>
  <w:num w:numId="190">
    <w:abstractNumId w:val="54"/>
  </w:num>
  <w:num w:numId="193">
    <w:abstractNumId w:val="48"/>
  </w:num>
  <w:num w:numId="196">
    <w:abstractNumId w:val="42"/>
  </w:num>
  <w:num w:numId="199">
    <w:abstractNumId w:val="36"/>
  </w:num>
  <w:num w:numId="206">
    <w:abstractNumId w:val="30"/>
  </w:num>
  <w:num w:numId="213">
    <w:abstractNumId w:val="24"/>
  </w:num>
  <w:num w:numId="219">
    <w:abstractNumId w:val="18"/>
  </w:num>
  <w:num w:numId="222">
    <w:abstractNumId w:val="12"/>
  </w:num>
  <w:num w:numId="225">
    <w:abstractNumId w:val="6"/>
  </w:num>
  <w:num w:numId="2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