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UWDEX04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Ақтөбе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UWDEX04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Ақтөбе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қтөбе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