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ПКОП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ТС-1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Текесу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ТС-1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ТС-1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сапалық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w:t>
                  </w:r>
                  <w:r>
                    <w:rPr>
                      <w:rFonts w:ascii="Times New Roman" w:hAnsi="Times New Roman" w:cs="Times New Roman" w:eastAsia="Times New Roman"/>
                      <w:color w:val="000000"/>
                      <w:spacing w:val="0"/>
                      <w:position w:val="0"/>
                      <w:sz w:val="24"/>
                      <w:shd w:fill="auto" w:val="clear"/>
                    </w:rPr>
                    <w:t xml:space="preserve">С кезіндегі ты</w:t>
                  </w:r>
                  <w:r>
                    <w:rPr>
                      <w:rFonts w:ascii="Times New Roman" w:hAnsi="Times New Roman" w:cs="Times New Roman" w:eastAsia="Times New Roman"/>
                      <w:color w:val="000000"/>
                      <w:spacing w:val="0"/>
                      <w:position w:val="0"/>
                      <w:sz w:val="24"/>
                      <w:shd w:fill="auto" w:val="clear"/>
                    </w:rPr>
                    <w:t xml:space="preserve">ғыздық, кг/м3, кемінде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775-780</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Высота некоптящего пламени, мм, кемінде</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Кислотность, мг КОН на 100 см3 топлива, не более</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Температура вспышки, определяемая в закрытом тигле, </w:t>
                  </w:r>
                  <w:r>
                    <w:rPr>
                      <w:rFonts w:ascii="Times New Roman" w:hAnsi="Times New Roman" w:cs="Times New Roman" w:eastAsia="Times New Roman"/>
                      <w:color w:val="000000"/>
                      <w:spacing w:val="0"/>
                      <w:position w:val="0"/>
                      <w:sz w:val="24"/>
                      <w:shd w:fill="auto" w:val="clear"/>
                      <w:vertAlign w:val="superscript"/>
                    </w:rPr>
                    <w:t xml:space="preserve">0</w:t>
                  </w:r>
                  <w:r>
                    <w:rPr>
                      <w:rFonts w:ascii="Times New Roman" w:hAnsi="Times New Roman" w:cs="Times New Roman" w:eastAsia="Times New Roman"/>
                      <w:color w:val="000000"/>
                      <w:spacing w:val="0"/>
                      <w:position w:val="0"/>
                      <w:sz w:val="24"/>
                      <w:shd w:fill="auto" w:val="clear"/>
                    </w:rPr>
                    <w:t xml:space="preserve">С, не ниже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өзделген нормалар шегінде ГОСТ 10227-86</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1"/>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DADFCTO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ПКОП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ТС-1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Текесу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бір сауда лотына;</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ресімделуге тиіс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үлгілік нысанына сәйкес. Данная форма договора содержит базовые жеткізу шарттары товара, которые могут быть при необходимости дополнены сторонами в итоговом договоре, подписываемом сторонами.</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тараптар оны орындау кезінде міндетті түрде қолдануға жатады.</w:t>
      </w:r>
    </w:p>
    <w:p>
      <w:pPr>
        <w:widowControl w:val="false"/>
        <w:numPr>
          <w:ilvl w:val="0"/>
          <w:numId w:val="7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и/или дополнительного соглашения/приложения к договору жеткізу,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шартына және/немесе тауарды жеткізу шартына қосымша келісімге/қосымшаға қол қояды;</w:t>
      </w:r>
    </w:p>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82"/>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Сатушы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мәміле сомасының 100%-ын Клирингтік орталықтың банктік шотына аударады;</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94"/>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94"/>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аудару Клиринговым центром ақшалай қаражаттың продавцу, алған күннен всех документов от продавца и покупателя сәйкес п. 4.4 и 5.1 высвобождает биржевое обеспечение под биржевую сделку.</w:t>
      </w:r>
    </w:p>
    <w:p>
      <w:pPr>
        <w:widowControl w:val="false"/>
        <w:numPr>
          <w:ilvl w:val="0"/>
          <w:numId w:val="10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04"/>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04"/>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04"/>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шарттары,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103"/>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 </w:t>
            </w:r>
            <w:r>
              <w:rPr>
                <w:rFonts w:ascii="Times New Roman" w:hAnsi="Times New Roman" w:cs="Times New Roman" w:eastAsia="Times New Roman"/>
                <w:color w:val="auto"/>
                <w:spacing w:val="0"/>
                <w:position w:val="0"/>
                <w:sz w:val="24"/>
                <w:shd w:fill="auto" w:val="clear"/>
              </w:rPr>
              <w:t xml:space="preserve">необходимо внести в редакцию Продавца.</w:t>
            </w:r>
          </w:p>
          <w:p>
            <w:pPr>
              <w:widowControl w:val="false"/>
              <w:suppressAutoHyphens w:val="true"/>
              <w:spacing w:before="0" w:after="0" w:line="240"/>
              <w:ind w:right="0" w:left="0" w:firstLine="0"/>
              <w:jc w:val="left"/>
              <w:rPr>
                <w:color w:val="auto"/>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3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4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ПетроКазахстан Ойл Продактс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ПКОП).</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3"/>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43"/>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43"/>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7"/>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Петро</w:t>
            </w:r>
            <w:r>
              <w:rPr>
                <w:rFonts w:ascii="Times New Roman" w:hAnsi="Times New Roman" w:cs="Times New Roman" w:eastAsia="Times New Roman"/>
                <w:color w:val="auto"/>
                <w:spacing w:val="0"/>
                <w:position w:val="0"/>
                <w:sz w:val="24"/>
                <w:shd w:fill="auto" w:val="clear"/>
              </w:rPr>
              <w:t xml:space="preserve">Қазахстан Ойл Продактс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ПКОП)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1"/>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5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5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биржи-данный пункт необходимо внести в редакцию Продавца.</w:t>
            </w:r>
          </w:p>
          <w:p>
            <w:pPr>
              <w:widowControl w:val="false"/>
              <w:numPr>
                <w:ilvl w:val="0"/>
                <w:numId w:val="15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5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5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5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61"/>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61"/>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9"/>
              </w:numPr>
              <w:tabs>
                <w:tab w:val="left" w:pos="708" w:leader="none"/>
                <w:tab w:val="left" w:pos="602"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1"/>
              </w:numPr>
              <w:tabs>
                <w:tab w:val="left" w:pos="708" w:leader="none"/>
                <w:tab w:val="left" w:pos="602" w:leader="none"/>
              </w:tabs>
              <w:suppressAutoHyphens w:val="true"/>
              <w:spacing w:before="0" w:after="0" w:line="240"/>
              <w:ind w:right="0" w:left="360" w:hanging="360"/>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73"/>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5"/>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7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7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7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7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7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177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82"/>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84"/>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84"/>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84"/>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84"/>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84"/>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8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89"/>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89"/>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94"/>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94"/>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8"/>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3"/>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06"/>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06"/>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4.11.</w:t>
            </w:r>
            <w:r>
              <w:rPr>
                <w:rFonts w:ascii="Times New Roman" w:hAnsi="Times New Roman" w:cs="Times New Roman" w:eastAsia="Times New Roman"/>
                <w:b/>
                <w:color w:val="000000"/>
                <w:spacing w:val="-1"/>
                <w:position w:val="0"/>
                <w:sz w:val="24"/>
                <w:u w:val="single"/>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tab/>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4"/>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14"/>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8"/>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0"/>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2"/>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4"/>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2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31"/>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33"/>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38"/>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38"/>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38"/>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38"/>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42"/>
              </w:numPr>
              <w:tabs>
                <w:tab w:val="left" w:pos="0" w:leader="none"/>
              </w:tabs>
              <w:suppressAutoHyphens w:val="true"/>
              <w:spacing w:before="0" w:after="0" w:line="240"/>
              <w:ind w:right="0" w:left="492" w:hanging="42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42"/>
              </w:numPr>
              <w:tabs>
                <w:tab w:val="left" w:pos="0" w:leader="none"/>
              </w:tabs>
              <w:suppressAutoHyphens w:val="true"/>
              <w:spacing w:before="0" w:after="0" w:line="240"/>
              <w:ind w:right="0" w:left="492" w:hanging="426"/>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42"/>
              </w:numPr>
              <w:tabs>
                <w:tab w:val="left" w:pos="0" w:leader="none"/>
              </w:tabs>
              <w:suppressAutoHyphens w:val="true"/>
              <w:spacing w:before="0" w:after="0" w:line="240"/>
              <w:ind w:right="0" w:left="350" w:hanging="284"/>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0"/>
                <w:position w:val="0"/>
                <w:sz w:val="24"/>
                <w:u w:val="single"/>
                <w:shd w:fill="auto" w:val="clear"/>
              </w:rPr>
            </w:pPr>
          </w:p>
          <w:p>
            <w:pPr>
              <w:widowControl w:val="false"/>
              <w:numPr>
                <w:ilvl w:val="0"/>
                <w:numId w:val="246"/>
              </w:numPr>
              <w:tabs>
                <w:tab w:val="left" w:pos="708" w:leader="none"/>
                <w:tab w:val="left" w:pos="744" w:leader="none"/>
              </w:tabs>
              <w:suppressAutoHyphens w:val="true"/>
              <w:spacing w:before="0" w:after="0" w:line="240"/>
              <w:ind w:right="0" w:left="480" w:hanging="48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46"/>
              </w:numPr>
              <w:tabs>
                <w:tab w:val="left" w:pos="0" w:leader="none"/>
              </w:tabs>
              <w:suppressAutoHyphens w:val="true"/>
              <w:spacing w:before="0" w:after="0" w:line="240"/>
              <w:ind w:right="0" w:left="350" w:hanging="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46"/>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46"/>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46"/>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46"/>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numPr>
                <w:ilvl w:val="0"/>
                <w:numId w:val="252"/>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5"/>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5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8"/>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5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6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62"/>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 внести в редакцию Продавца.</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7"/>
              </w:numPr>
              <w:tabs>
                <w:tab w:val="left" w:pos="708" w:leader="none"/>
                <w:tab w:val="left" w:pos="744" w:leader="none"/>
              </w:tabs>
              <w:suppressAutoHyphens w:val="true"/>
              <w:spacing w:before="0" w:after="0" w:line="240"/>
              <w:ind w:right="0" w:left="540" w:hanging="54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77"/>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4"/>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8"/>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0"/>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6"/>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30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16"/>
              </w:numPr>
              <w:tabs>
                <w:tab w:val="left" w:pos="708" w:leader="none"/>
                <w:tab w:val="left" w:pos="744" w:leader="none"/>
              </w:tabs>
              <w:suppressAutoHyphens w:val="true"/>
              <w:spacing w:before="0" w:after="0" w:line="240"/>
              <w:ind w:right="0" w:left="540" w:hanging="54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31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31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31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31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31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31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3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3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2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8"/>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0"/>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2"/>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336"/>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39"/>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46"/>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8"/>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52"/>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52"/>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55"/>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57"/>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58"/>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66"/>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66"/>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77"/>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0"/>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84"/>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9"/>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9"/>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9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3"/>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93"/>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96"/>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6"/>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6"/>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6"/>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2"/>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2"/>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41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6"/>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1"/>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4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8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84"/>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Текесу,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94"/>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94"/>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94"/>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94"/>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501"/>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08"/>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Текесу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10">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11">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38"/>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480">
    <w:lvl w:ilvl="0">
      <w:start w:val="1"/>
      <w:numFmt w:val="bullet"/>
      <w:lvlText w:val="•"/>
    </w:lvl>
  </w:abstractNum>
  <w:abstractNum w:abstractNumId="486">
    <w:lvl w:ilvl="0">
      <w:start w:val="1"/>
      <w:numFmt w:val="bullet"/>
      <w:lvlText w:val="•"/>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num w:numId="7">
    <w:abstractNumId w:val="486"/>
  </w:num>
  <w:num w:numId="71">
    <w:abstractNumId w:val="480"/>
  </w:num>
  <w:num w:numId="82">
    <w:abstractNumId w:val="474"/>
  </w:num>
  <w:num w:numId="94">
    <w:abstractNumId w:val="468"/>
  </w:num>
  <w:num w:numId="104">
    <w:abstractNumId w:val="462"/>
  </w:num>
  <w:num w:numId="138">
    <w:abstractNumId w:val="456"/>
  </w:num>
  <w:num w:numId="141">
    <w:abstractNumId w:val="450"/>
  </w:num>
  <w:num w:numId="143">
    <w:abstractNumId w:val="444"/>
  </w:num>
  <w:num w:numId="147">
    <w:abstractNumId w:val="438"/>
  </w:num>
  <w:num w:numId="151">
    <w:abstractNumId w:val="432"/>
  </w:num>
  <w:num w:numId="155">
    <w:abstractNumId w:val="426"/>
  </w:num>
  <w:num w:numId="157">
    <w:abstractNumId w:val="420"/>
  </w:num>
  <w:num w:numId="161">
    <w:abstractNumId w:val="414"/>
  </w:num>
  <w:num w:numId="169">
    <w:abstractNumId w:val="408"/>
  </w:num>
  <w:num w:numId="171">
    <w:abstractNumId w:val="402"/>
  </w:num>
  <w:num w:numId="173">
    <w:abstractNumId w:val="396"/>
  </w:num>
  <w:num w:numId="175">
    <w:abstractNumId w:val="390"/>
  </w:num>
  <w:num w:numId="178">
    <w:abstractNumId w:val="384"/>
  </w:num>
  <w:num w:numId="182">
    <w:abstractNumId w:val="378"/>
  </w:num>
  <w:num w:numId="184">
    <w:abstractNumId w:val="372"/>
  </w:num>
  <w:num w:numId="189">
    <w:abstractNumId w:val="366"/>
  </w:num>
  <w:num w:numId="194">
    <w:abstractNumId w:val="360"/>
  </w:num>
  <w:num w:numId="198">
    <w:abstractNumId w:val="354"/>
  </w:num>
  <w:num w:numId="203">
    <w:abstractNumId w:val="348"/>
  </w:num>
  <w:num w:numId="206">
    <w:abstractNumId w:val="342"/>
  </w:num>
  <w:num w:numId="214">
    <w:abstractNumId w:val="336"/>
  </w:num>
  <w:num w:numId="218">
    <w:abstractNumId w:val="330"/>
  </w:num>
  <w:num w:numId="220">
    <w:abstractNumId w:val="324"/>
  </w:num>
  <w:num w:numId="222">
    <w:abstractNumId w:val="318"/>
  </w:num>
  <w:num w:numId="224">
    <w:abstractNumId w:val="312"/>
  </w:num>
  <w:num w:numId="229">
    <w:abstractNumId w:val="306"/>
  </w:num>
  <w:num w:numId="231">
    <w:abstractNumId w:val="300"/>
  </w:num>
  <w:num w:numId="233">
    <w:abstractNumId w:val="294"/>
  </w:num>
  <w:num w:numId="236">
    <w:abstractNumId w:val="288"/>
  </w:num>
  <w:num w:numId="238">
    <w:abstractNumId w:val="282"/>
  </w:num>
  <w:num w:numId="242">
    <w:abstractNumId w:val="276"/>
  </w:num>
  <w:num w:numId="246">
    <w:abstractNumId w:val="270"/>
  </w:num>
  <w:num w:numId="252">
    <w:abstractNumId w:val="264"/>
  </w:num>
  <w:num w:numId="255">
    <w:abstractNumId w:val="258"/>
  </w:num>
  <w:num w:numId="258">
    <w:abstractNumId w:val="252"/>
  </w:num>
  <w:num w:numId="262">
    <w:abstractNumId w:val="246"/>
  </w:num>
  <w:num w:numId="277">
    <w:abstractNumId w:val="240"/>
  </w:num>
  <w:num w:numId="284">
    <w:abstractNumId w:val="234"/>
  </w:num>
  <w:num w:numId="286">
    <w:abstractNumId w:val="228"/>
  </w:num>
  <w:num w:numId="288">
    <w:abstractNumId w:val="222"/>
  </w:num>
  <w:num w:numId="290">
    <w:abstractNumId w:val="216"/>
  </w:num>
  <w:num w:numId="296">
    <w:abstractNumId w:val="210"/>
  </w:num>
  <w:num w:numId="299">
    <w:abstractNumId w:val="204"/>
  </w:num>
  <w:num w:numId="302">
    <w:abstractNumId w:val="198"/>
  </w:num>
  <w:num w:numId="304">
    <w:abstractNumId w:val="192"/>
  </w:num>
  <w:num w:numId="306">
    <w:abstractNumId w:val="186"/>
  </w:num>
  <w:num w:numId="308">
    <w:abstractNumId w:val="180"/>
  </w:num>
  <w:num w:numId="310">
    <w:abstractNumId w:val="174"/>
  </w:num>
  <w:num w:numId="312">
    <w:abstractNumId w:val="168"/>
  </w:num>
  <w:num w:numId="314">
    <w:abstractNumId w:val="162"/>
  </w:num>
  <w:num w:numId="316">
    <w:abstractNumId w:val="156"/>
  </w:num>
  <w:num w:numId="319">
    <w:abstractNumId w:val="150"/>
  </w:num>
  <w:num w:numId="321">
    <w:abstractNumId w:val="144"/>
  </w:num>
  <w:num w:numId="323">
    <w:abstractNumId w:val="138"/>
  </w:num>
  <w:num w:numId="326">
    <w:abstractNumId w:val="132"/>
  </w:num>
  <w:num w:numId="328">
    <w:abstractNumId w:val="126"/>
  </w:num>
  <w:num w:numId="330">
    <w:abstractNumId w:val="120"/>
  </w:num>
  <w:num w:numId="332">
    <w:abstractNumId w:val="114"/>
  </w:num>
  <w:num w:numId="334">
    <w:abstractNumId w:val="108"/>
  </w:num>
  <w:num w:numId="336">
    <w:abstractNumId w:val="102"/>
  </w:num>
  <w:num w:numId="339">
    <w:abstractNumId w:val="96"/>
  </w:num>
  <w:num w:numId="341">
    <w:abstractNumId w:val="90"/>
  </w:num>
  <w:num w:numId="346">
    <w:abstractNumId w:val="84"/>
  </w:num>
  <w:num w:numId="348">
    <w:abstractNumId w:val="78"/>
  </w:num>
  <w:num w:numId="352">
    <w:abstractNumId w:val="72"/>
  </w:num>
  <w:num w:numId="355">
    <w:abstractNumId w:val="109"/>
  </w:num>
  <w:num w:numId="357">
    <w:abstractNumId w:val="103"/>
  </w:num>
  <w:num w:numId="358">
    <w:abstractNumId w:val="66"/>
  </w:num>
  <w:num w:numId="366">
    <w:abstractNumId w:val="60"/>
  </w:num>
  <w:num w:numId="372">
    <w:abstractNumId w:val="54"/>
  </w:num>
  <w:num w:numId="377">
    <w:abstractNumId w:val="48"/>
  </w:num>
  <w:num w:numId="380">
    <w:abstractNumId w:val="42"/>
  </w:num>
  <w:num w:numId="384">
    <w:abstractNumId w:val="36"/>
  </w:num>
  <w:num w:numId="387">
    <w:abstractNumId w:val="30"/>
  </w:num>
  <w:num w:numId="389">
    <w:abstractNumId w:val="24"/>
  </w:num>
  <w:num w:numId="391">
    <w:abstractNumId w:val="97"/>
  </w:num>
  <w:num w:numId="393">
    <w:abstractNumId w:val="91"/>
  </w:num>
  <w:num w:numId="396">
    <w:abstractNumId w:val="18"/>
  </w:num>
  <w:num w:numId="403">
    <w:abstractNumId w:val="12"/>
  </w:num>
  <w:num w:numId="406">
    <w:abstractNumId w:val="85"/>
  </w:num>
  <w:num w:numId="410">
    <w:abstractNumId w:val="79"/>
  </w:num>
  <w:num w:numId="412">
    <w:abstractNumId w:val="73"/>
  </w:num>
  <w:num w:numId="415">
    <w:abstractNumId w:val="67"/>
  </w:num>
  <w:num w:numId="418">
    <w:abstractNumId w:val="61"/>
  </w:num>
  <w:num w:numId="421">
    <w:abstractNumId w:val="55"/>
  </w:num>
  <w:num w:numId="424">
    <w:abstractNumId w:val="49"/>
  </w:num>
  <w:num w:numId="426">
    <w:abstractNumId w:val="43"/>
  </w:num>
  <w:num w:numId="431">
    <w:abstractNumId w:val="37"/>
  </w:num>
  <w:num w:numId="436">
    <w:abstractNumId w:val="6"/>
  </w:num>
  <w:num w:numId="449">
    <w:abstractNumId w:val="0"/>
  </w:num>
  <w:num w:numId="482">
    <w:abstractNumId w:val="31"/>
  </w:num>
  <w:num w:numId="484">
    <w:abstractNumId w:val="25"/>
  </w:num>
  <w:num w:numId="494">
    <w:abstractNumId w:val="19"/>
  </w:num>
  <w:num w:numId="501">
    <w:abstractNumId w:val="13"/>
  </w:num>
  <w:num w:numId="508">
    <w:abstractNumId w:val="7"/>
  </w:num>
  <w:num w:numId="538">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mailto:azk_almaz@list.ru" Id="docRId1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6" Type="http://schemas.openxmlformats.org/officeDocument/2006/relationships/hyperlink" /><Relationship TargetMode="External" Target="http://www.ets.kz/" Id="docRId1" Type="http://schemas.openxmlformats.org/officeDocument/2006/relationships/hyperlink" /><Relationship TargetMode="External" Target="mailto:azk_almaz@list.ru" Id="docRId11" Type="http://schemas.openxmlformats.org/officeDocument/2006/relationships/hyperlink"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 TargetMode="External" Target="http://www.ets.kz/" Id="docRId0" Type="http://schemas.openxmlformats.org/officeDocument/2006/relationships/hyperlink" /><Relationship Target="numbering.xml" Id="docRId12" Type="http://schemas.openxmlformats.org/officeDocument/2006/relationships/numbering" /><Relationship TargetMode="External" Target="mailto:azk_almaz@list.ru" Id="docRId4" Type="http://schemas.openxmlformats.org/officeDocument/2006/relationships/hyperlink" /><Relationship TargetMode="External" Target="mailto:azk_almaz@list.ru" Id="docRId8" Type="http://schemas.openxmlformats.org/officeDocument/2006/relationships/hyperlink" /></Relationships>
</file>